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953D02" w14:textId="77777777" w:rsidR="00513DED" w:rsidRDefault="00CB5559">
      <w:pPr>
        <w:pStyle w:val="Normal1"/>
        <w:spacing w:after="0"/>
        <w:ind w:left="141" w:right="-19"/>
        <w:jc w:val="center"/>
      </w:pPr>
      <w:r>
        <w:rPr>
          <w:noProof/>
          <w:lang w:val="en-NZ" w:eastAsia="en-NZ"/>
        </w:rPr>
        <w:drawing>
          <wp:inline distT="0" distB="0" distL="0" distR="0" wp14:anchorId="2966986B" wp14:editId="5FF1FE76">
            <wp:extent cx="5591175" cy="73342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a:srcRect/>
                    <a:stretch>
                      <a:fillRect/>
                    </a:stretch>
                  </pic:blipFill>
                  <pic:spPr>
                    <a:xfrm>
                      <a:off x="0" y="0"/>
                      <a:ext cx="5591175" cy="733425"/>
                    </a:xfrm>
                    <a:prstGeom prst="rect">
                      <a:avLst/>
                    </a:prstGeom>
                    <a:ln/>
                  </pic:spPr>
                </pic:pic>
              </a:graphicData>
            </a:graphic>
          </wp:inline>
        </w:drawing>
      </w:r>
    </w:p>
    <w:p w14:paraId="345260F3" w14:textId="77777777" w:rsidR="00513DED" w:rsidRDefault="00513DED">
      <w:pPr>
        <w:pStyle w:val="Normal1"/>
        <w:spacing w:before="3" w:after="0"/>
      </w:pPr>
    </w:p>
    <w:p w14:paraId="575E216B" w14:textId="77777777" w:rsidR="00513DED" w:rsidRDefault="00CB5559">
      <w:pPr>
        <w:pStyle w:val="Normal1"/>
        <w:spacing w:before="20" w:after="0"/>
        <w:jc w:val="center"/>
      </w:pPr>
      <w:r>
        <w:rPr>
          <w:b/>
          <w:sz w:val="24"/>
        </w:rPr>
        <w:t xml:space="preserve">Scientific Committee </w:t>
      </w:r>
    </w:p>
    <w:p w14:paraId="5134E93A" w14:textId="77777777" w:rsidR="00513DED" w:rsidRDefault="00CB5559">
      <w:pPr>
        <w:pStyle w:val="Normal1"/>
        <w:spacing w:after="0"/>
        <w:jc w:val="center"/>
      </w:pPr>
      <w:r>
        <w:t>Honolulu, Hawaii, USA</w:t>
      </w:r>
    </w:p>
    <w:p w14:paraId="75E42A5D" w14:textId="77777777" w:rsidR="00513DED" w:rsidRDefault="00CB5559">
      <w:pPr>
        <w:pStyle w:val="Normal1"/>
        <w:tabs>
          <w:tab w:val="left" w:pos="3282"/>
        </w:tabs>
        <w:spacing w:before="1" w:after="0"/>
        <w:jc w:val="center"/>
      </w:pPr>
      <w:r>
        <w:t>1-7 October 2014</w:t>
      </w:r>
    </w:p>
    <w:p w14:paraId="4D3A18E3" w14:textId="0B1F7AF6" w:rsidR="00513DED" w:rsidRDefault="00B1049B">
      <w:pPr>
        <w:pStyle w:val="Normal1"/>
        <w:spacing w:after="0"/>
        <w:jc w:val="center"/>
        <w:rPr>
          <w:b/>
          <w:sz w:val="28"/>
        </w:rPr>
      </w:pPr>
      <w:r>
        <w:rPr>
          <w:b/>
          <w:sz w:val="28"/>
        </w:rPr>
        <w:t xml:space="preserve">DRAFT </w:t>
      </w:r>
      <w:r w:rsidR="00CB5559">
        <w:rPr>
          <w:b/>
          <w:sz w:val="28"/>
        </w:rPr>
        <w:t>REPORT OF THE 2</w:t>
      </w:r>
      <w:r w:rsidR="00CB5559">
        <w:rPr>
          <w:b/>
          <w:sz w:val="28"/>
          <w:vertAlign w:val="superscript"/>
        </w:rPr>
        <w:t>nd</w:t>
      </w:r>
      <w:r w:rsidR="00CB5559">
        <w:rPr>
          <w:b/>
          <w:sz w:val="28"/>
        </w:rPr>
        <w:t xml:space="preserve"> SCIENTIFIC COMMITTEE MEETING</w:t>
      </w:r>
    </w:p>
    <w:p w14:paraId="51BCE5B0" w14:textId="56C4853A" w:rsidR="00B1049B" w:rsidRPr="00B1049B" w:rsidRDefault="00B1049B">
      <w:pPr>
        <w:pStyle w:val="Normal1"/>
        <w:spacing w:after="0"/>
        <w:jc w:val="center"/>
        <w:rPr>
          <w:sz w:val="20"/>
        </w:rPr>
      </w:pPr>
      <w:r w:rsidRPr="00B1049B">
        <w:rPr>
          <w:sz w:val="24"/>
        </w:rPr>
        <w:t>SC-02-WP-16</w:t>
      </w:r>
    </w:p>
    <w:p w14:paraId="48D993E8" w14:textId="77777777" w:rsidR="00513DED" w:rsidRDefault="00513DED">
      <w:pPr>
        <w:pStyle w:val="Normal1"/>
        <w:pBdr>
          <w:bottom w:val="single" w:sz="12" w:space="1" w:color="auto"/>
        </w:pBdr>
        <w:spacing w:after="0"/>
      </w:pPr>
    </w:p>
    <w:p w14:paraId="0E07E99E" w14:textId="77777777" w:rsidR="00513DED" w:rsidRDefault="00513DED">
      <w:pPr>
        <w:pStyle w:val="Normal1"/>
        <w:spacing w:after="0"/>
      </w:pPr>
    </w:p>
    <w:p w14:paraId="609A14A2" w14:textId="77777777" w:rsidR="00513DED" w:rsidRDefault="00CB5559">
      <w:pPr>
        <w:pStyle w:val="Heading1"/>
        <w:numPr>
          <w:ilvl w:val="0"/>
          <w:numId w:val="5"/>
        </w:numPr>
      </w:pPr>
      <w:r>
        <w:t xml:space="preserve">Welcome &amp; Introductions </w:t>
      </w:r>
    </w:p>
    <w:p w14:paraId="12167A93" w14:textId="77777777" w:rsidR="00513DED" w:rsidRDefault="00CB5559">
      <w:pPr>
        <w:pStyle w:val="Normal1"/>
      </w:pPr>
      <w:r>
        <w:t>The participants were welcomed to the meeting by Dr James Ianelli, Chair of the Scientific Committee (SC) at the start of proceedings, and participants introduced themselves.</w:t>
      </w:r>
    </w:p>
    <w:p w14:paraId="03690637" w14:textId="77777777" w:rsidR="00513DED" w:rsidRDefault="00CB5559">
      <w:pPr>
        <w:pStyle w:val="Heading1"/>
        <w:numPr>
          <w:ilvl w:val="0"/>
          <w:numId w:val="5"/>
        </w:numPr>
      </w:pPr>
      <w:r>
        <w:t>Adoption of Agenda</w:t>
      </w:r>
    </w:p>
    <w:p w14:paraId="6F2010EB" w14:textId="77777777" w:rsidR="00513DED" w:rsidRDefault="00CB5559">
      <w:pPr>
        <w:pStyle w:val="Normal1"/>
      </w:pPr>
      <w:r>
        <w:t>The Chair sought proposed changes to the Draft Agenda.  A proposal to expand the scope of Agenda Item 8 with 4 sub-items was discussed and accepted.  A proposal to add an Agenda Item to discuss the creation of a Monitoring Working Group (WG) was discussed, and it was agreed that the existing Agenda could accommodate such a discussion. Provisional agenda item 7.3 was moved to the bottom of section 7. The revised agenda is attached as Annex 1.</w:t>
      </w:r>
    </w:p>
    <w:p w14:paraId="3C35F644" w14:textId="77777777" w:rsidR="00513DED" w:rsidRDefault="00CB5559">
      <w:pPr>
        <w:pStyle w:val="Heading1"/>
        <w:numPr>
          <w:ilvl w:val="0"/>
          <w:numId w:val="5"/>
        </w:numPr>
        <w:ind w:left="360"/>
        <w:contextualSpacing/>
      </w:pPr>
      <w:bookmarkStart w:id="0" w:name="h.7vs1osk87djy" w:colFirst="0" w:colLast="0"/>
      <w:bookmarkEnd w:id="0"/>
      <w:r>
        <w:t>Administrative Arrangements</w:t>
      </w:r>
    </w:p>
    <w:p w14:paraId="7D3561F2" w14:textId="77777777" w:rsidR="00513DED" w:rsidRDefault="00CB5559">
      <w:pPr>
        <w:pStyle w:val="Normal1"/>
      </w:pPr>
      <w:r>
        <w:t>Administrative arrangements were presented by the Chair.</w:t>
      </w:r>
    </w:p>
    <w:p w14:paraId="03FB798D" w14:textId="77777777" w:rsidR="00513DED" w:rsidRDefault="00CB5559">
      <w:pPr>
        <w:pStyle w:val="Heading2"/>
        <w:contextualSpacing w:val="0"/>
      </w:pPr>
      <w:r>
        <w:t xml:space="preserve">3.1 Meeting documents </w:t>
      </w:r>
    </w:p>
    <w:p w14:paraId="6172DAC8" w14:textId="77777777" w:rsidR="00513DED" w:rsidRDefault="00CB5559">
      <w:pPr>
        <w:pStyle w:val="Normal1"/>
      </w:pPr>
      <w:r>
        <w:t>Meeting documentation, location and access was presented, including a final updated document list (SC-02-INF-01). The list of participants is attached as Annex XX.</w:t>
      </w:r>
    </w:p>
    <w:p w14:paraId="0E400C37" w14:textId="77777777" w:rsidR="00513DED" w:rsidRDefault="00CB5559">
      <w:pPr>
        <w:pStyle w:val="Heading1"/>
        <w:numPr>
          <w:ilvl w:val="0"/>
          <w:numId w:val="5"/>
        </w:numPr>
      </w:pPr>
      <w:r>
        <w:t>Nomination of Rapporteurs</w:t>
      </w:r>
    </w:p>
    <w:p w14:paraId="4A21607D" w14:textId="77777777" w:rsidR="00513DED" w:rsidRDefault="00CB5559">
      <w:pPr>
        <w:pStyle w:val="Normal1"/>
      </w:pPr>
      <w:r>
        <w:t>Rapporteurs were assigned to general agenda items and included:  Niels Hintzen (European Union), Ad Corten, (European Union), Matthew Flood (Australia), Aquiles Sepúlveda (Chile), and Geoff Tingley (New Zealand).</w:t>
      </w:r>
    </w:p>
    <w:p w14:paraId="7D7F7253" w14:textId="77777777" w:rsidR="00513DED" w:rsidRDefault="00CB5559">
      <w:pPr>
        <w:pStyle w:val="Heading1"/>
        <w:numPr>
          <w:ilvl w:val="0"/>
          <w:numId w:val="5"/>
        </w:numPr>
      </w:pPr>
      <w:r>
        <w:t>Discussion of Participant Reports</w:t>
      </w:r>
    </w:p>
    <w:p w14:paraId="1D51CEF8" w14:textId="77777777" w:rsidR="00513DED" w:rsidRDefault="00CB5559">
      <w:pPr>
        <w:pStyle w:val="Normal1"/>
      </w:pPr>
      <w:r>
        <w:t xml:space="preserve">Annual Reports were provided for this meeting by Australia, Chile, China,  Colombia, Ecuador, European Union, Korea, New Zealand, Peru, Chinese Taipei,  United States of America and Vanuatu (documents SC‐02‐ 03 to 09, 15 to 18, and 22 to 25). Participants made brief presentations of their reports and provided answers and explanations in response to questions. Vanuatu was not represented at the meeting though their report was available.  </w:t>
      </w:r>
    </w:p>
    <w:p w14:paraId="667DBA76" w14:textId="77777777" w:rsidR="00513DED" w:rsidRDefault="00CB5559">
      <w:pPr>
        <w:pStyle w:val="Normal1"/>
      </w:pPr>
      <w:r>
        <w:t>The presentations of the national reports were followed by discussions among representatives as summarised below.</w:t>
      </w:r>
    </w:p>
    <w:p w14:paraId="00672DD1" w14:textId="77777777" w:rsidR="00513DED" w:rsidRDefault="00CB5559">
      <w:pPr>
        <w:pStyle w:val="Normal1"/>
      </w:pPr>
      <w:r>
        <w:rPr>
          <w:sz w:val="24"/>
        </w:rPr>
        <w:t xml:space="preserve">A discussion about possible bias of size sampling data from fisheries observers followed the EU presentation. The EU suggested to develop a protocol for bird observation data (see agenda item 9). The report of Chinese Taipei showed a drop of CPUE during the last two years when fishing inside the Peruvian EEZ was no longer possible. In this context, it was observed by the group that jumbo squid abundance off Southern Chile was decreasing. The move-on rule for vulnerable ecosystems was discussed in </w:t>
      </w:r>
      <w:r>
        <w:rPr>
          <w:sz w:val="24"/>
        </w:rPr>
        <w:lastRenderedPageBreak/>
        <w:t>conjunction with New Zealand’s presentation. This rule has only rarely been triggered partly because the industry tends to avoid fishing in areas where this rule could be triggered. The Australian report will be amended to indicate that the fishery predominantly takes adult alfonsinos. Also, it was remarked that the bottom fishing footprint of SPRFMO, which is based on fishing activities from 2002 to 2006, would be much larger if historic activities were included. Chile is including hydro-acoustic data in its stock assessments. The country also indicated that they adjusted their calculation of CPUE to take into account a recent shift of fishery areas as well as the use of fishing days as an indicator (?). Peru’s report on SPRFMO fisheries ensued a number of questions related to recent prolonged fishing activities of five Peruvian vessels without reporting any catches. These could not be answered at the time of the meeting as observer information from these vessels was not yet available. Peru’s national report on jack mackerel stocks in its waters was received with much interest, in particular with regard to the interpretation of bio-acoustic survey data. With regard to the Korean report, it was noted that the length-frequency data from Korea are comparable to those from EU vessels. Also, Korea informed the meeting that their observers had not recorded any by-catch of birds or mammals.</w:t>
      </w:r>
    </w:p>
    <w:p w14:paraId="11556273" w14:textId="77777777" w:rsidR="00513DED" w:rsidRDefault="00CB5559">
      <w:pPr>
        <w:pStyle w:val="Heading1"/>
        <w:numPr>
          <w:ilvl w:val="0"/>
          <w:numId w:val="5"/>
        </w:numPr>
      </w:pPr>
      <w:r>
        <w:t>Jack Mackerel Working Group</w:t>
      </w:r>
    </w:p>
    <w:p w14:paraId="13AEA01C" w14:textId="77777777" w:rsidR="00513DED" w:rsidRDefault="00CB5559">
      <w:pPr>
        <w:pStyle w:val="Heading2"/>
        <w:contextualSpacing w:val="0"/>
      </w:pPr>
      <w:r>
        <w:t>6.1.</w:t>
      </w:r>
      <w:r>
        <w:tab/>
        <w:t>Report on Inter-Sessional assessment/research by Participants</w:t>
      </w:r>
    </w:p>
    <w:p w14:paraId="2D411B36" w14:textId="77777777" w:rsidR="00513DED" w:rsidRDefault="00CB5559">
      <w:pPr>
        <w:pStyle w:val="Normal1"/>
      </w:pPr>
      <w:bookmarkStart w:id="1" w:name="h.gjdgxs" w:colFirst="0" w:colLast="0"/>
      <w:bookmarkEnd w:id="1"/>
      <w:r>
        <w:t xml:space="preserve">As directed by the Commission, the SC continued to evaluate alternative stock structure hypotheses and the consequences of alternative management approaches. </w:t>
      </w:r>
    </w:p>
    <w:p w14:paraId="35BDA5C4" w14:textId="77777777" w:rsidR="00513DED" w:rsidRDefault="00CB5559">
      <w:pPr>
        <w:pStyle w:val="Heading3"/>
        <w:contextualSpacing w:val="0"/>
      </w:pPr>
      <w:r>
        <w:t>6.1.1.</w:t>
      </w:r>
      <w:r>
        <w:tab/>
        <w:t xml:space="preserve"> Inter-Sessional Stock Assessments of Jack Mackerel</w:t>
      </w:r>
    </w:p>
    <w:p w14:paraId="478D1044" w14:textId="77777777" w:rsidR="00513DED" w:rsidRDefault="00CB5559">
      <w:pPr>
        <w:pStyle w:val="Normal1"/>
      </w:pPr>
      <w:r>
        <w:t>The Peruvian National Report (SC-02-17) referred to an assessment of the far north stock for 2012 and an updated 2013 assessment.</w:t>
      </w:r>
    </w:p>
    <w:p w14:paraId="09B5E629" w14:textId="77777777" w:rsidR="00513DED" w:rsidRDefault="00CB5559">
      <w:pPr>
        <w:pStyle w:val="Normal1"/>
      </w:pPr>
      <w:r>
        <w:t>A number of activities where the potential for fishing vessels to be used as a means to collect information on the status of resources was presented and discussed. In the Peru National Report No 1 (Paper SC-02-16), annual catches of Jack mackerel in the Convention area by the Peruvian fleet have been highly variable, with a clear declining trend since 2010 and no catches in late 2013 and the first part of 2014.  The Peru National Report No 2 (Paper SC-02-17) updated information on the environment, the biology, the fishery and the assessment of Jack mackerel in Peruvian jurisdictional waters. Some of these updated observations were well in line with earlier observations transmitted to this Committee supporting the prevailing hypothesis that the “Jack mackerel caught off the coasts of Peru constitute a separate stock from that caught off central-southern Chile”. Paper SC-02-17 also reports on the development of El Niño conditions in early 2014 while confirming the prevalence of environmental and biological conditions, consistent with the persistency of a mid-term colder scenario favorable for the anchoveta but not so favorable for the development of jack mackerel, also described as a low regime for Jack mackerel off Peru.</w:t>
      </w:r>
    </w:p>
    <w:p w14:paraId="224B6420" w14:textId="77777777" w:rsidR="00513DED" w:rsidRDefault="00CB5559">
      <w:pPr>
        <w:pStyle w:val="Normal1"/>
      </w:pPr>
      <w:r>
        <w:t>Hugo Arancibia presented an independent analysis of the assessment for jack mackerel using some alternative assumptions about density dependent catchability changes and heterogeneous spatial structure. In the most recent decade, results on biomass were similar to the Joint Jack Mackerel assessment results.</w:t>
      </w:r>
    </w:p>
    <w:p w14:paraId="414CE010" w14:textId="77777777" w:rsidR="00513DED" w:rsidRDefault="00CB5559">
      <w:pPr>
        <w:pStyle w:val="Normal1"/>
      </w:pPr>
      <w:r>
        <w:t xml:space="preserve">Fishing vessels can collect massively more information than single research vessels can do on their own. The SC heard four presentations, one from SNP [Ulises Munaylla], IREA (Pedro Trillo), the EU (Francois Gerlotto), and Chile (Aquiles Sepulveda). The SC discussed at length the various activities and how they might best be used going forward to supplement the assessments and </w:t>
      </w:r>
      <w:r>
        <w:lastRenderedPageBreak/>
        <w:t xml:space="preserve">alternative model configurations. </w:t>
      </w:r>
    </w:p>
    <w:p w14:paraId="3D3CA7BF" w14:textId="77777777" w:rsidR="00513DED" w:rsidRDefault="00CB5559">
      <w:pPr>
        <w:pStyle w:val="Heading3"/>
        <w:spacing w:after="200"/>
        <w:contextualSpacing w:val="0"/>
      </w:pPr>
      <w:bookmarkStart w:id="2" w:name="h.bqhk2brtc978" w:colFirst="0" w:colLast="0"/>
      <w:bookmarkEnd w:id="2"/>
      <w:r>
        <w:t xml:space="preserve"> 6.1.2.</w:t>
      </w:r>
      <w:r>
        <w:tab/>
        <w:t xml:space="preserve"> Inter-Sessional Progress with the Jack Mackerel Stock Structure Research Programme</w:t>
      </w:r>
    </w:p>
    <w:p w14:paraId="5AFC0D5F" w14:textId="77777777" w:rsidR="00513DED" w:rsidRDefault="00CB5559">
      <w:pPr>
        <w:pStyle w:val="Normal1"/>
      </w:pPr>
      <w:r>
        <w:t xml:space="preserve">Ad Corten presented a paper (SC-02-JM-03) describing a running hypothesis on the movement of the 2008 year class from South-Central Chile into Peruvian jurisdictional areas. Discussion on the presentation focussed on the possibility that throughout the South Pacific recruitment was present but that only in Peruvian waters the juveniles recruited to the fishery, whether the year class truly can be considered as a strong year class and whether the Chilean Northern fishery did not pick up any of these fish when they possibly moved from the south to Northern waters. Ad Corten indicated that environmental conditions could have been limiting  a catch of juveniles in Northern Chile and were such that enabled a rapid movement of juveniles. The discussion furthermore focused on the necessity to apply tagging studies to track migration routes of jack mackerel. </w:t>
      </w:r>
    </w:p>
    <w:p w14:paraId="1299DE31" w14:textId="77777777" w:rsidR="00513DED" w:rsidRDefault="00CB5559">
      <w:pPr>
        <w:pStyle w:val="Normal1"/>
      </w:pPr>
      <w:r>
        <w:t xml:space="preserve">Niels Hintzen reviewed the activities that have occurred under the EU project on stock structure and management. Four different activities were undertaken. A review of existing knowledge on stock structure in the peer-reviewed and grey literature, modelling of suitable habitat for Jack Mackerel, spatial modelling of the population using a configuration of the SEAPODYM model and management strategy evaluations including investigations of risk when stock structure would not appropriately accounted for in management. </w:t>
      </w:r>
    </w:p>
    <w:p w14:paraId="33EDA7C3" w14:textId="77777777" w:rsidR="00513DED" w:rsidRDefault="00CB5559">
      <w:pPr>
        <w:pStyle w:val="Heading3"/>
        <w:contextualSpacing w:val="0"/>
      </w:pPr>
      <w:r>
        <w:t>6.1.3.</w:t>
      </w:r>
      <w:r>
        <w:tab/>
        <w:t xml:space="preserve"> Inter-Sessional Progress with Jack Mackerel Age/Growth Task Team</w:t>
      </w:r>
    </w:p>
    <w:p w14:paraId="3F49B2E4" w14:textId="77777777" w:rsidR="00513DED" w:rsidRDefault="00CB5559">
      <w:pPr>
        <w:pStyle w:val="Normal1"/>
      </w:pPr>
      <w:r>
        <w:t xml:space="preserve">Chile gave a brief presentation reporting the current state of the jack mackerel ageing programme.  Otolith samples were obtained from the Ecuadorian and Chilean area of distribution of the jack mackerel and images of the otoliths were taken.  </w:t>
      </w:r>
    </w:p>
    <w:p w14:paraId="0960A082" w14:textId="77777777" w:rsidR="00513DED" w:rsidRDefault="00CB5559">
      <w:pPr>
        <w:pStyle w:val="Normal1"/>
      </w:pPr>
      <w:r>
        <w:t>Terms of reference for the task team were developed from the mandate for/ofthe Science Working Group resulting from the otolith interpretation and ageing workshop held in 2011, and were distributed to the task team together with the images.  A time schedule for the work was also proposed.  The terms of reference were sent as a draft in order to receive feedback from the task team with the intention to have agreed terms on how to proceed to accomplish the mandate.</w:t>
      </w:r>
    </w:p>
    <w:p w14:paraId="5AFA603C" w14:textId="77777777" w:rsidR="00513DED" w:rsidRDefault="00CB5559">
      <w:pPr>
        <w:pStyle w:val="Heading3"/>
        <w:contextualSpacing w:val="0"/>
      </w:pPr>
      <w:r>
        <w:t>6.1.4.</w:t>
      </w:r>
      <w:r>
        <w:tab/>
        <w:t xml:space="preserve"> Acoustic survey standardization </w:t>
      </w:r>
    </w:p>
    <w:p w14:paraId="524AC2CD" w14:textId="77777777" w:rsidR="00513DED" w:rsidRDefault="00CB5559">
      <w:pPr>
        <w:pStyle w:val="Normal1"/>
      </w:pPr>
      <w:r>
        <w:t xml:space="preserve">Peruvian work </w:t>
      </w:r>
    </w:p>
    <w:p w14:paraId="1920069F" w14:textId="77777777" w:rsidR="00513DED" w:rsidRDefault="00CB5559">
      <w:pPr>
        <w:pStyle w:val="Heading2"/>
        <w:contextualSpacing w:val="0"/>
      </w:pPr>
      <w:r>
        <w:t>6.2. Jack Mackerel Stock Assessments</w:t>
      </w:r>
    </w:p>
    <w:p w14:paraId="7CAAB48F" w14:textId="77777777" w:rsidR="00513DED" w:rsidRDefault="00CB5559">
      <w:pPr>
        <w:pStyle w:val="Heading3"/>
        <w:contextualSpacing w:val="0"/>
      </w:pPr>
      <w:r>
        <w:t>6.2.1.</w:t>
      </w:r>
      <w:r>
        <w:tab/>
        <w:t xml:space="preserve"> Updating of data sets for additional stock assessment runs</w:t>
      </w:r>
    </w:p>
    <w:p w14:paraId="3BDDD7FF" w14:textId="77777777" w:rsidR="00513DED" w:rsidRDefault="00CB5559">
      <w:pPr>
        <w:pStyle w:val="Normal1"/>
      </w:pPr>
      <w:r>
        <w:t xml:space="preserve">The Secretariat provided updated historical catch data series to 2013 and provided forms for completing catches through 2014 as best estimates for use in the assessments. Changes to this data series included the final 2013 figures as advised by Members and CNCPs and the best information on expected 2014 catches. The 2014 estimates were created by applying the observed percentage difference between 2013 provisional figures (used in SC-01) and the final 2013 figures for the offshore fleet while expert judgement was applied for the other three fleets.   </w:t>
      </w:r>
    </w:p>
    <w:p w14:paraId="48B429D4" w14:textId="77777777" w:rsidR="00513DED" w:rsidRDefault="00CB5559">
      <w:pPr>
        <w:pStyle w:val="Normal1"/>
      </w:pPr>
      <w:r>
        <w:t>The complete catch data series used in the assessment is shown in Table AXX.</w:t>
      </w:r>
    </w:p>
    <w:p w14:paraId="42B57BD6" w14:textId="77777777" w:rsidR="00513DED" w:rsidRDefault="00CB5559">
      <w:pPr>
        <w:pStyle w:val="Heading3"/>
        <w:contextualSpacing w:val="0"/>
      </w:pPr>
      <w:r>
        <w:t>6.2.2.</w:t>
      </w:r>
      <w:r>
        <w:tab/>
        <w:t xml:space="preserve"> Selection and specification of base-case assessment, and specification of additional stock assessment sensitivity runs to be conducted</w:t>
      </w:r>
    </w:p>
    <w:p w14:paraId="475CA811" w14:textId="77777777" w:rsidR="00513DED" w:rsidRDefault="00CB5559">
      <w:pPr>
        <w:pStyle w:val="Normal1"/>
      </w:pPr>
      <w:r>
        <w:t xml:space="preserve">As in past years, the assessment was developed by first determining what changes and </w:t>
      </w:r>
      <w:r>
        <w:lastRenderedPageBreak/>
        <w:t>developments occurred in the model and then sequentially evaluating the influence of new data introduced this year. A set of sensitivities were then evaluated and a final set of base-case runs were selected based on a number of factors as presented in Annex 5.</w:t>
      </w:r>
    </w:p>
    <w:p w14:paraId="48A88086" w14:textId="77777777" w:rsidR="00513DED" w:rsidRDefault="00CB5559">
      <w:pPr>
        <w:pStyle w:val="Heading3"/>
        <w:contextualSpacing w:val="0"/>
      </w:pPr>
      <w:r>
        <w:t>6.2.3.</w:t>
      </w:r>
      <w:r>
        <w:tab/>
        <w:t xml:space="preserve"> Conducting of additional stock assessment runs</w:t>
      </w:r>
    </w:p>
    <w:p w14:paraId="0357612F" w14:textId="77777777" w:rsidR="00513DED" w:rsidRDefault="00CB5559">
      <w:pPr>
        <w:pStyle w:val="Normal1"/>
      </w:pPr>
      <w:r>
        <w:t xml:space="preserve">From the base-case models, alternatives were developed for different productivity scenarios based on uncertainty in the stock-recruitment relationship and environmental conditions. This provides the basis for short-and medium-term projections. </w:t>
      </w:r>
    </w:p>
    <w:p w14:paraId="4A380D02" w14:textId="77777777" w:rsidR="00513DED" w:rsidRDefault="00CB5559">
      <w:pPr>
        <w:pStyle w:val="Heading3"/>
        <w:contextualSpacing w:val="0"/>
      </w:pPr>
      <w:r>
        <w:t>6.2.4.</w:t>
      </w:r>
      <w:r>
        <w:tab/>
        <w:t xml:space="preserve"> Synthesis and summary of key results from all stock assessment runs conducted</w:t>
      </w:r>
    </w:p>
    <w:p w14:paraId="6357E3C2" w14:textId="77777777" w:rsidR="00513DED" w:rsidRDefault="00CB5559">
      <w:pPr>
        <w:pStyle w:val="Normal1"/>
      </w:pPr>
      <w:r>
        <w:t xml:space="preserve">Conditions for the jack mackerel stock remain at low levels and new information is consistent with the results from previous assessments. Fishing mortality rates in the past three years have decreased and this, along with modest improvement in recruitment, has contributed to the estimated increase in biomass. Results are summarised in </w:t>
      </w:r>
      <w:r>
        <w:rPr>
          <w:highlight w:val="yellow"/>
        </w:rPr>
        <w:t>Annex 5</w:t>
      </w:r>
      <w:r>
        <w:t>.  During the meeting a series of alternatives were examined, including the two-stock models. To evaluate these, the negative-log likelihood components were presented to evaluate trade-offs between different data components and model assumptions. It is important to note that some values in this table for some subsets of models cannot be compared because data weightings may differ.</w:t>
      </w:r>
    </w:p>
    <w:p w14:paraId="3DC9881B" w14:textId="77777777" w:rsidR="00513DED" w:rsidRDefault="00CB5559">
      <w:pPr>
        <w:pStyle w:val="Normal1"/>
      </w:pPr>
      <w:r>
        <w:t>Models 2.3 (and complementary Models 2.3n and 2.3s) were selected as the base case. Models 2.0-2.2 were named simply for specifying alternative productivity regimes (i.e., resiliency and carrying capacity as effectively modeled through stock-recruitment steepness and the unfished mean recruitment level). Model 2.3 was selected since it was most precautionary for near-term productivity expectations.</w:t>
      </w:r>
    </w:p>
    <w:p w14:paraId="77774C98" w14:textId="77777777" w:rsidR="00513DED" w:rsidRDefault="00CB5559">
      <w:pPr>
        <w:pStyle w:val="Normal1"/>
      </w:pPr>
      <w:r>
        <w:t>Results from two-stock models show similar trends in the biomass compared to those using the same model configurations used for the single stock options.  One difference was that the two-stock model showed much higher historical stock abundances. In particular, results for the southern stock are very close to the single combined stock results, and main differences are related to high levels of abundance for the Far north stock in the early period. The fit to the individual indices and age and length composition information was better in the two stocks model. This can be related to a different model structure (two stocks) or the increase in the number of parameters (independent recruitments, and natural mortality assumption for each stock). Full statistical comparisons between the models were difficult due to the differences in the number of parameters and model structures, and more efforts on model comparisons between alternative population structure hypotheses should be carry out, since this would have an impact in the management of the jack mackerel population.</w:t>
      </w:r>
    </w:p>
    <w:p w14:paraId="36C26CCA" w14:textId="77777777" w:rsidR="00513DED" w:rsidRDefault="00CB5559">
      <w:pPr>
        <w:pStyle w:val="Normal1"/>
      </w:pPr>
      <w:r>
        <w:t>Model 2.3 results indicate that the SSB increased from a 2013 estimate of 2.4 million t to a 2014 estimate of 2.7 million t (other models also indicated increases). Recruitment appears to remain in a low productivity phase. This increase in estimated SSB reflects increases apparent in the indices used in the models.</w:t>
      </w:r>
    </w:p>
    <w:p w14:paraId="5BD447BD" w14:textId="77777777" w:rsidR="00513DED" w:rsidRDefault="00CB5559">
      <w:pPr>
        <w:pStyle w:val="Normal1"/>
      </w:pPr>
      <w:r>
        <w:t>As presented at the last SC meeting, there are a number of key uncertainties associated with both the assessment and projections both in estimation and expectations of future environmental conditions. These have been addressed by exploring different assumptions in model runs and comparing the results. Key uncertainties in the assessment include:</w:t>
      </w:r>
    </w:p>
    <w:p w14:paraId="79D10D00" w14:textId="77777777" w:rsidR="00513DED" w:rsidRDefault="00CB5559">
      <w:pPr>
        <w:pStyle w:val="Normal1"/>
        <w:numPr>
          <w:ilvl w:val="0"/>
          <w:numId w:val="10"/>
        </w:numPr>
        <w:spacing w:after="0"/>
        <w:ind w:hanging="359"/>
        <w:contextualSpacing/>
      </w:pPr>
      <w:r>
        <w:rPr>
          <w:rFonts w:ascii="Times New Roman" w:eastAsia="Times New Roman" w:hAnsi="Times New Roman" w:cs="Times New Roman"/>
          <w:sz w:val="14"/>
        </w:rPr>
        <w:t xml:space="preserve"> </w:t>
      </w:r>
      <w:r>
        <w:rPr>
          <w:b/>
        </w:rPr>
        <w:t>Stock structure</w:t>
      </w:r>
      <w:r>
        <w:t>: considered through applying both single and two stock models.</w:t>
      </w:r>
    </w:p>
    <w:p w14:paraId="63ECB60E" w14:textId="77777777" w:rsidR="00513DED" w:rsidRDefault="00CB5559">
      <w:pPr>
        <w:pStyle w:val="Normal1"/>
        <w:numPr>
          <w:ilvl w:val="0"/>
          <w:numId w:val="10"/>
        </w:numPr>
        <w:spacing w:after="0"/>
        <w:ind w:hanging="359"/>
        <w:contextualSpacing/>
      </w:pPr>
      <w:r>
        <w:rPr>
          <w:b/>
        </w:rPr>
        <w:t xml:space="preserve">Natural mortality, </w:t>
      </w:r>
      <w:r>
        <w:rPr>
          <w:b/>
          <w:i/>
        </w:rPr>
        <w:t>M</w:t>
      </w:r>
      <w:r>
        <w:t>: highly uncertain, assumed constant for all ages and through time in the accepted models (</w:t>
      </w:r>
      <w:r>
        <w:rPr>
          <w:i/>
        </w:rPr>
        <w:t>M</w:t>
      </w:r>
      <w:r>
        <w:t xml:space="preserve"> = 0.23). Models 1.5-1.8 evaluated a profile of alternative </w:t>
      </w:r>
      <w:r>
        <w:rPr>
          <w:i/>
        </w:rPr>
        <w:t>M</w:t>
      </w:r>
      <w:r>
        <w:t xml:space="preserve"> values (results indicate much higher values are favored and this results in unrealistically high biomass estimates).</w:t>
      </w:r>
    </w:p>
    <w:p w14:paraId="0B111713" w14:textId="77777777" w:rsidR="00513DED" w:rsidRDefault="00CB5559">
      <w:pPr>
        <w:pStyle w:val="Normal1"/>
        <w:numPr>
          <w:ilvl w:val="0"/>
          <w:numId w:val="10"/>
        </w:numPr>
        <w:spacing w:after="0"/>
        <w:ind w:hanging="359"/>
        <w:contextualSpacing/>
      </w:pPr>
      <w:r>
        <w:rPr>
          <w:b/>
        </w:rPr>
        <w:t>Input data quality</w:t>
      </w:r>
      <w:r>
        <w:t>: a number of model runs excluded various data components and others changed the weighting of different data components.</w:t>
      </w:r>
    </w:p>
    <w:p w14:paraId="29AEDB2B" w14:textId="77777777" w:rsidR="00513DED" w:rsidRDefault="00513DED">
      <w:pPr>
        <w:pStyle w:val="Normal1"/>
        <w:spacing w:after="0"/>
      </w:pPr>
    </w:p>
    <w:p w14:paraId="341ABAFE" w14:textId="77777777" w:rsidR="00513DED" w:rsidRDefault="00CB5559">
      <w:pPr>
        <w:pStyle w:val="Normal1"/>
      </w:pPr>
      <w:r>
        <w:t>Uncertainty in regime shifts/oceanographic conditions may affect future recruitment levels, which in turn will affect estimates of biomass through projections. These uncertainties have been addressed through the range of scenarios used in the projections with differing values of recruitment regimes and stock recruitment steepness parameters.</w:t>
      </w:r>
    </w:p>
    <w:p w14:paraId="008468DC" w14:textId="77777777" w:rsidR="00513DED" w:rsidRDefault="00CB5559">
      <w:pPr>
        <w:pStyle w:val="Normal1"/>
      </w:pPr>
      <w:r>
        <w:t>Projections using the entire time series of recruitment (1970-2012) under the assumption of constant fishing mortality equal to 2014 levels (Models 2.0 and 2.2) indicate that the biomass is expected to increase over the next 10 years, eventually reaching B</w:t>
      </w:r>
      <w:r>
        <w:rPr>
          <w:vertAlign w:val="subscript"/>
        </w:rPr>
        <w:t>MSY</w:t>
      </w:r>
      <w:r>
        <w:t xml:space="preserve"> in about 5 years. Projections using recruitment levels from 2000-2012 (a period of lower productivity compared to that prior to 2000; Models 2.1 and 2.3) indicate that the biomass is expected to increase over the next 5 years but then stabilize at a point below the provisional B</w:t>
      </w:r>
      <w:r>
        <w:rPr>
          <w:vertAlign w:val="subscript"/>
        </w:rPr>
        <w:t>MSY</w:t>
      </w:r>
      <w:r>
        <w:t>.</w:t>
      </w:r>
    </w:p>
    <w:p w14:paraId="72B77771" w14:textId="77777777" w:rsidR="00513DED" w:rsidRDefault="00CB5559">
      <w:pPr>
        <w:pStyle w:val="Heading2"/>
        <w:contextualSpacing w:val="0"/>
      </w:pPr>
      <w:r>
        <w:t>6.3.</w:t>
      </w:r>
      <w:r>
        <w:tab/>
        <w:t>Advice to the Commission on jack mackerel stock status</w:t>
      </w:r>
    </w:p>
    <w:p w14:paraId="036E1AC0" w14:textId="77777777" w:rsidR="00513DED" w:rsidRDefault="00CB5559">
      <w:pPr>
        <w:pStyle w:val="Normal1"/>
      </w:pPr>
      <w:r>
        <w:t>The SC is tasked to give advice on the status of Jack Mackerel. Similar to last year, the group agreed to present a range of plausible model configurations in order to reflect real concerns over model specification uncertainties. Advice on jack mackerel stock status at this meeting was based on stock assessments conducted using the Joint Jack Mackerel (JJM) statistical catch-at-age model developed collaboratively by participants since 2010. Considerable improvements to the ability to run models over different hypotheses (e.g., stock structure) by participants was developed intersessional which facilitated the ability to analyze the available data.</w:t>
      </w:r>
    </w:p>
    <w:p w14:paraId="3204D799" w14:textId="77777777" w:rsidR="00513DED" w:rsidRDefault="00CB5559">
      <w:pPr>
        <w:pStyle w:val="Normal1"/>
      </w:pPr>
      <w:r>
        <w:t>Projection results under the assumption of recent average recruitment at the levels estimated for the recent period (2000–2012) indicate that if fishing mortality is maintained at or below 2014 levels the likelihood of spawning biomass increases are improved. This results in catches for 2014 on the order of 460 kt or lower. Fishing effort in the next 10 years at or below current (2014) levels are projected to have a reasonably good probability of increased spawning biomass from the current level of 2.7 million t with projected increase to 3.2 million t in 2015 (with approximate 90% confidence bounds of 2.5 - 4.1 million t).</w:t>
      </w:r>
    </w:p>
    <w:p w14:paraId="7ECFC39F" w14:textId="77777777" w:rsidR="00513DED" w:rsidRDefault="00CB5559">
      <w:pPr>
        <w:pStyle w:val="Normal1"/>
      </w:pPr>
      <w:r>
        <w:t>The Commission notes the following in their roadmap to the SC:</w:t>
      </w:r>
    </w:p>
    <w:p w14:paraId="0390B010" w14:textId="77777777" w:rsidR="00513DED" w:rsidRDefault="00CB5559">
      <w:pPr>
        <w:pStyle w:val="Normal1"/>
        <w:ind w:left="720"/>
      </w:pPr>
      <w:r>
        <w:rPr>
          <w:i/>
        </w:rPr>
        <w:t>Consider a range of exploitation levels and present the probabilities that the spawning stock biomass will reach target and limit reference points in 2015, and also 10 and 20 years into the future. In the absence of a target reference point, provisional values shall be used.</w:t>
      </w:r>
    </w:p>
    <w:p w14:paraId="60BF0EAE" w14:textId="77777777" w:rsidR="00513DED" w:rsidRDefault="00CB5559">
      <w:pPr>
        <w:pStyle w:val="Normal1"/>
      </w:pPr>
      <w:r>
        <w:t>The results addressing these requested projections are given in Table 1 for near-term consideration and Table 2 for longer term projections. In the latter table. Model 2.2 assumes long-term average recruitment conditions may be more applicable (assuming that the environment is conducive to a more normal recruitment productivity regime). Example population trajectories under the different fishing mortality rate multipliers and productivity scenarios is shown in Figure 2.</w:t>
      </w:r>
    </w:p>
    <w:p w14:paraId="1CA3243F" w14:textId="77777777" w:rsidR="00E3226F" w:rsidRDefault="00E3226F">
      <w:pPr>
        <w:pStyle w:val="Normal1"/>
      </w:pPr>
    </w:p>
    <w:p w14:paraId="39B2421B" w14:textId="110AA395" w:rsidR="00E3226F" w:rsidRDefault="00CB5559" w:rsidP="00E3226F">
      <w:pPr>
        <w:pStyle w:val="Normal1"/>
        <w:keepNext/>
        <w:keepLines/>
        <w:ind w:left="1108" w:hanging="1166"/>
      </w:pPr>
      <w:r>
        <w:lastRenderedPageBreak/>
        <w:t>Table 1.         Summary results for the near term predictions for models 2.</w:t>
      </w:r>
      <w:r w:rsidR="00152EFE">
        <w:t>0 and 2.</w:t>
      </w:r>
      <w:r>
        <w:t>3. Note that “B” in all cases represents thousands of t of spa</w:t>
      </w:r>
      <w:r w:rsidR="00E3226F">
        <w:t>wning stock biomass and B</w:t>
      </w:r>
      <w:r w:rsidR="00E3226F">
        <w:rPr>
          <w:vertAlign w:val="subscript"/>
        </w:rPr>
        <w:t>MSY</w:t>
      </w:r>
      <w:r w:rsidR="00E3226F">
        <w:t xml:space="preserve"> is provisionally taken to be 5.5 million t of spawning biomass in all cases.</w:t>
      </w:r>
    </w:p>
    <w:tbl>
      <w:tblPr>
        <w:tblW w:w="0" w:type="auto"/>
        <w:jc w:val="center"/>
        <w:tblCellMar>
          <w:left w:w="43" w:type="dxa"/>
          <w:right w:w="43" w:type="dxa"/>
        </w:tblCellMar>
        <w:tblLook w:val="04A0" w:firstRow="1" w:lastRow="0" w:firstColumn="1" w:lastColumn="0" w:noHBand="0" w:noVBand="1"/>
      </w:tblPr>
      <w:tblGrid>
        <w:gridCol w:w="1110"/>
        <w:gridCol w:w="593"/>
        <w:gridCol w:w="1227"/>
        <w:gridCol w:w="824"/>
        <w:gridCol w:w="824"/>
        <w:gridCol w:w="93"/>
        <w:gridCol w:w="92"/>
        <w:gridCol w:w="92"/>
        <w:gridCol w:w="92"/>
      </w:tblGrid>
      <w:tr w:rsidR="00E3226F" w:rsidRPr="0072709A" w14:paraId="14843CAF" w14:textId="77777777" w:rsidTr="00E3226F">
        <w:trPr>
          <w:gridAfter w:val="3"/>
          <w:cantSplit/>
          <w:trHeight w:val="248"/>
          <w:jc w:val="center"/>
        </w:trPr>
        <w:tc>
          <w:tcPr>
            <w:tcW w:w="0" w:type="auto"/>
            <w:gridSpan w:val="6"/>
            <w:tcBorders>
              <w:top w:val="nil"/>
              <w:left w:val="nil"/>
              <w:bottom w:val="double" w:sz="4" w:space="0" w:color="auto"/>
              <w:right w:val="nil"/>
            </w:tcBorders>
            <w:shd w:val="clear" w:color="auto" w:fill="auto"/>
            <w:noWrap/>
            <w:vAlign w:val="bottom"/>
            <w:hideMark/>
          </w:tcPr>
          <w:p w14:paraId="069EC8A6" w14:textId="77777777" w:rsidR="00E3226F" w:rsidRPr="0072709A" w:rsidRDefault="00E3226F" w:rsidP="00CB5559">
            <w:pPr>
              <w:keepNext/>
              <w:spacing w:after="0"/>
              <w:rPr>
                <w:sz w:val="20"/>
              </w:rPr>
            </w:pPr>
            <w:r w:rsidRPr="0072709A">
              <w:rPr>
                <w:b/>
                <w:sz w:val="20"/>
              </w:rPr>
              <w:t xml:space="preserve">Model </w:t>
            </w:r>
            <w:r>
              <w:rPr>
                <w:b/>
                <w:sz w:val="20"/>
              </w:rPr>
              <w:t>2.0,</w:t>
            </w:r>
            <w:r w:rsidRPr="0072709A">
              <w:rPr>
                <w:b/>
                <w:sz w:val="20"/>
              </w:rPr>
              <w:t xml:space="preserve"> </w:t>
            </w:r>
            <w:r>
              <w:rPr>
                <w:b/>
                <w:sz w:val="20"/>
              </w:rPr>
              <w:t>s</w:t>
            </w:r>
            <w:r w:rsidRPr="0072709A">
              <w:rPr>
                <w:b/>
                <w:sz w:val="20"/>
              </w:rPr>
              <w:t>teepness=0.8, recruitment from 1970-201</w:t>
            </w:r>
            <w:r>
              <w:rPr>
                <w:b/>
                <w:sz w:val="20"/>
              </w:rPr>
              <w:t>2</w:t>
            </w:r>
          </w:p>
        </w:tc>
      </w:tr>
      <w:tr w:rsidR="00E3226F" w:rsidRPr="0072709A" w14:paraId="513060A1" w14:textId="77777777" w:rsidTr="00E3226F">
        <w:trPr>
          <w:gridAfter w:val="4"/>
          <w:cantSplit/>
          <w:trHeight w:val="488"/>
          <w:jc w:val="center"/>
        </w:trPr>
        <w:tc>
          <w:tcPr>
            <w:tcW w:w="0" w:type="auto"/>
            <w:tcBorders>
              <w:top w:val="double" w:sz="4" w:space="0" w:color="auto"/>
              <w:left w:val="nil"/>
              <w:bottom w:val="single" w:sz="4" w:space="0" w:color="auto"/>
              <w:right w:val="nil"/>
            </w:tcBorders>
            <w:shd w:val="clear" w:color="auto" w:fill="auto"/>
            <w:noWrap/>
            <w:vAlign w:val="bottom"/>
            <w:hideMark/>
          </w:tcPr>
          <w:p w14:paraId="3018B7C7" w14:textId="77777777" w:rsidR="00E3226F" w:rsidRPr="00E5282C" w:rsidRDefault="00E3226F" w:rsidP="00CB5559">
            <w:pPr>
              <w:keepNext/>
              <w:spacing w:after="0"/>
              <w:jc w:val="center"/>
              <w:rPr>
                <w:sz w:val="20"/>
              </w:rPr>
            </w:pPr>
            <w:r w:rsidRPr="00E5282C">
              <w:rPr>
                <w:sz w:val="20"/>
              </w:rPr>
              <w:t xml:space="preserve">Multiplier of </w:t>
            </w:r>
            <w:r w:rsidRPr="00E5282C">
              <w:rPr>
                <w:sz w:val="20"/>
              </w:rPr>
              <w:br/>
              <w:t>F</w:t>
            </w:r>
            <w:r w:rsidRPr="00E5282C">
              <w:rPr>
                <w:sz w:val="20"/>
                <w:vertAlign w:val="subscript"/>
              </w:rPr>
              <w:t>201</w:t>
            </w:r>
            <w:r>
              <w:rPr>
                <w:sz w:val="20"/>
                <w:vertAlign w:val="subscript"/>
              </w:rPr>
              <w:t>4</w:t>
            </w:r>
          </w:p>
        </w:tc>
        <w:tc>
          <w:tcPr>
            <w:tcW w:w="0" w:type="auto"/>
            <w:tcBorders>
              <w:top w:val="double" w:sz="4" w:space="0" w:color="auto"/>
              <w:left w:val="nil"/>
              <w:bottom w:val="single" w:sz="4" w:space="0" w:color="auto"/>
              <w:right w:val="nil"/>
            </w:tcBorders>
            <w:shd w:val="clear" w:color="auto" w:fill="auto"/>
            <w:noWrap/>
            <w:vAlign w:val="bottom"/>
            <w:hideMark/>
          </w:tcPr>
          <w:p w14:paraId="3F4F1B98"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201</w:t>
            </w:r>
            <w:r>
              <w:rPr>
                <w:sz w:val="20"/>
                <w:vertAlign w:val="subscript"/>
              </w:rPr>
              <w:t>6</w:t>
            </w:r>
          </w:p>
        </w:tc>
        <w:tc>
          <w:tcPr>
            <w:tcW w:w="0" w:type="auto"/>
            <w:tcBorders>
              <w:top w:val="double" w:sz="4" w:space="0" w:color="auto"/>
              <w:left w:val="nil"/>
              <w:bottom w:val="single" w:sz="4" w:space="0" w:color="auto"/>
              <w:right w:val="nil"/>
            </w:tcBorders>
            <w:shd w:val="clear" w:color="auto" w:fill="auto"/>
            <w:noWrap/>
            <w:vAlign w:val="bottom"/>
            <w:hideMark/>
          </w:tcPr>
          <w:p w14:paraId="58E268F0"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201</w:t>
            </w:r>
            <w:r>
              <w:rPr>
                <w:sz w:val="20"/>
                <w:vertAlign w:val="subscript"/>
              </w:rPr>
              <w:t>6</w:t>
            </w:r>
            <w:r w:rsidRPr="0072709A">
              <w:rPr>
                <w:sz w:val="20"/>
              </w:rPr>
              <w:t xml:space="preserve"> &gt; </w:t>
            </w:r>
            <w:r w:rsidRPr="0072709A">
              <w:rPr>
                <w:i/>
                <w:sz w:val="20"/>
              </w:rPr>
              <w:t>B</w:t>
            </w:r>
            <w:r>
              <w:rPr>
                <w:i/>
                <w:sz w:val="20"/>
                <w:vertAlign w:val="subscript"/>
              </w:rPr>
              <w:t>MSY</w:t>
            </w:r>
            <w:r w:rsidRPr="0072709A">
              <w:rPr>
                <w:sz w:val="20"/>
              </w:rPr>
              <w:t>)</w:t>
            </w:r>
          </w:p>
        </w:tc>
        <w:tc>
          <w:tcPr>
            <w:tcW w:w="0" w:type="auto"/>
            <w:tcBorders>
              <w:top w:val="double" w:sz="4" w:space="0" w:color="auto"/>
              <w:left w:val="nil"/>
              <w:bottom w:val="single" w:sz="4" w:space="0" w:color="auto"/>
              <w:right w:val="nil"/>
            </w:tcBorders>
            <w:shd w:val="clear" w:color="auto" w:fill="auto"/>
            <w:noWrap/>
            <w:vAlign w:val="bottom"/>
            <w:hideMark/>
          </w:tcPr>
          <w:p w14:paraId="00E0AD69" w14:textId="77777777" w:rsidR="00E3226F" w:rsidRPr="0072709A" w:rsidRDefault="00E3226F" w:rsidP="00CB5559">
            <w:pPr>
              <w:keepNext/>
              <w:spacing w:after="0"/>
              <w:jc w:val="right"/>
              <w:rPr>
                <w:sz w:val="20"/>
              </w:rPr>
            </w:pPr>
            <w:r w:rsidRPr="0072709A">
              <w:rPr>
                <w:sz w:val="20"/>
              </w:rPr>
              <w:t xml:space="preserve">Catch </w:t>
            </w:r>
            <w:r>
              <w:rPr>
                <w:sz w:val="20"/>
              </w:rPr>
              <w:br/>
              <w:t>2015 (kt)</w:t>
            </w:r>
          </w:p>
        </w:tc>
        <w:tc>
          <w:tcPr>
            <w:tcW w:w="0" w:type="auto"/>
            <w:tcBorders>
              <w:top w:val="double" w:sz="4" w:space="0" w:color="auto"/>
              <w:left w:val="nil"/>
              <w:bottom w:val="single" w:sz="4" w:space="0" w:color="auto"/>
              <w:right w:val="nil"/>
            </w:tcBorders>
            <w:shd w:val="clear" w:color="auto" w:fill="auto"/>
            <w:noWrap/>
            <w:vAlign w:val="bottom"/>
            <w:hideMark/>
          </w:tcPr>
          <w:p w14:paraId="4669500A" w14:textId="77777777" w:rsidR="00E3226F" w:rsidRPr="0072709A" w:rsidRDefault="00E3226F" w:rsidP="00CB5559">
            <w:pPr>
              <w:keepNext/>
              <w:spacing w:after="0"/>
              <w:jc w:val="right"/>
              <w:rPr>
                <w:sz w:val="20"/>
              </w:rPr>
            </w:pPr>
            <w:r w:rsidRPr="0072709A">
              <w:rPr>
                <w:sz w:val="20"/>
              </w:rPr>
              <w:t xml:space="preserve">Catch </w:t>
            </w:r>
            <w:r>
              <w:rPr>
                <w:sz w:val="20"/>
              </w:rPr>
              <w:br/>
            </w:r>
            <w:r w:rsidRPr="0072709A">
              <w:rPr>
                <w:sz w:val="20"/>
              </w:rPr>
              <w:t>201</w:t>
            </w:r>
            <w:r>
              <w:rPr>
                <w:sz w:val="20"/>
              </w:rPr>
              <w:t>6 (kt)</w:t>
            </w:r>
          </w:p>
        </w:tc>
      </w:tr>
      <w:tr w:rsidR="00E3226F" w:rsidRPr="0072709A" w14:paraId="30AA0F86" w14:textId="77777777" w:rsidTr="00E3226F">
        <w:trPr>
          <w:gridAfter w:val="4"/>
          <w:cantSplit/>
          <w:trHeight w:val="276"/>
          <w:jc w:val="center"/>
        </w:trPr>
        <w:tc>
          <w:tcPr>
            <w:tcW w:w="0" w:type="auto"/>
            <w:tcBorders>
              <w:top w:val="single" w:sz="4" w:space="0" w:color="auto"/>
              <w:left w:val="nil"/>
              <w:bottom w:val="nil"/>
              <w:right w:val="nil"/>
            </w:tcBorders>
            <w:shd w:val="clear" w:color="auto" w:fill="auto"/>
            <w:noWrap/>
            <w:vAlign w:val="bottom"/>
            <w:hideMark/>
          </w:tcPr>
          <w:p w14:paraId="47F7F35A" w14:textId="77777777" w:rsidR="00E3226F" w:rsidRPr="006E5612" w:rsidRDefault="00E3226F" w:rsidP="00CB5559">
            <w:pPr>
              <w:keepNext/>
              <w:spacing w:after="0"/>
              <w:jc w:val="center"/>
            </w:pPr>
            <w:r w:rsidRPr="006E5612">
              <w:t>0.00</w:t>
            </w:r>
          </w:p>
        </w:tc>
        <w:tc>
          <w:tcPr>
            <w:tcW w:w="0" w:type="auto"/>
            <w:tcBorders>
              <w:top w:val="single" w:sz="4" w:space="0" w:color="auto"/>
              <w:left w:val="nil"/>
              <w:bottom w:val="nil"/>
              <w:right w:val="nil"/>
            </w:tcBorders>
            <w:shd w:val="clear" w:color="auto" w:fill="auto"/>
            <w:noWrap/>
            <w:vAlign w:val="center"/>
            <w:hideMark/>
          </w:tcPr>
          <w:p w14:paraId="0E3FAEFF" w14:textId="77777777" w:rsidR="00E3226F" w:rsidRPr="006E5612" w:rsidRDefault="00E3226F" w:rsidP="00CB5559">
            <w:pPr>
              <w:keepNext/>
              <w:spacing w:after="0"/>
              <w:jc w:val="right"/>
            </w:pPr>
            <w:r w:rsidRPr="006E5612">
              <w:t>4,569</w:t>
            </w:r>
          </w:p>
        </w:tc>
        <w:tc>
          <w:tcPr>
            <w:tcW w:w="0" w:type="auto"/>
            <w:tcBorders>
              <w:top w:val="single" w:sz="4" w:space="0" w:color="auto"/>
              <w:left w:val="nil"/>
              <w:bottom w:val="nil"/>
              <w:right w:val="nil"/>
            </w:tcBorders>
            <w:shd w:val="clear" w:color="auto" w:fill="auto"/>
            <w:noWrap/>
            <w:vAlign w:val="bottom"/>
            <w:hideMark/>
          </w:tcPr>
          <w:p w14:paraId="3C29244F" w14:textId="77777777" w:rsidR="00E3226F" w:rsidRPr="006E5612" w:rsidRDefault="00E3226F" w:rsidP="00CB5559">
            <w:pPr>
              <w:keepNext/>
              <w:spacing w:after="0"/>
              <w:jc w:val="right"/>
            </w:pPr>
            <w:r w:rsidRPr="006E5612">
              <w:t>4%</w:t>
            </w:r>
          </w:p>
        </w:tc>
        <w:tc>
          <w:tcPr>
            <w:tcW w:w="0" w:type="auto"/>
            <w:tcBorders>
              <w:top w:val="single" w:sz="4" w:space="0" w:color="auto"/>
              <w:left w:val="nil"/>
              <w:bottom w:val="nil"/>
              <w:right w:val="nil"/>
            </w:tcBorders>
            <w:shd w:val="clear" w:color="auto" w:fill="auto"/>
            <w:noWrap/>
            <w:vAlign w:val="bottom"/>
            <w:hideMark/>
          </w:tcPr>
          <w:p w14:paraId="1162C2F8" w14:textId="77777777" w:rsidR="00E3226F" w:rsidRPr="006E5612" w:rsidRDefault="00E3226F" w:rsidP="00CB5559">
            <w:pPr>
              <w:keepNext/>
              <w:spacing w:after="0"/>
              <w:jc w:val="right"/>
            </w:pPr>
            <w:r w:rsidRPr="006E5612">
              <w:t>0</w:t>
            </w:r>
          </w:p>
        </w:tc>
        <w:tc>
          <w:tcPr>
            <w:tcW w:w="0" w:type="auto"/>
            <w:tcBorders>
              <w:top w:val="single" w:sz="4" w:space="0" w:color="auto"/>
              <w:left w:val="nil"/>
              <w:bottom w:val="nil"/>
              <w:right w:val="nil"/>
            </w:tcBorders>
            <w:shd w:val="clear" w:color="auto" w:fill="auto"/>
            <w:noWrap/>
            <w:vAlign w:val="bottom"/>
            <w:hideMark/>
          </w:tcPr>
          <w:p w14:paraId="14DE5686" w14:textId="77777777" w:rsidR="00E3226F" w:rsidRPr="006E5612" w:rsidRDefault="00E3226F" w:rsidP="00CB5559">
            <w:pPr>
              <w:keepNext/>
              <w:spacing w:after="0"/>
              <w:jc w:val="right"/>
            </w:pPr>
            <w:r w:rsidRPr="006E5612">
              <w:t>0</w:t>
            </w:r>
          </w:p>
        </w:tc>
      </w:tr>
      <w:tr w:rsidR="00E3226F" w:rsidRPr="0072709A" w14:paraId="3D57F576" w14:textId="77777777" w:rsidTr="00E3226F">
        <w:trPr>
          <w:gridAfter w:val="4"/>
          <w:cantSplit/>
          <w:trHeight w:val="267"/>
          <w:jc w:val="center"/>
        </w:trPr>
        <w:tc>
          <w:tcPr>
            <w:tcW w:w="0" w:type="auto"/>
            <w:tcBorders>
              <w:top w:val="nil"/>
              <w:left w:val="nil"/>
              <w:bottom w:val="nil"/>
              <w:right w:val="nil"/>
            </w:tcBorders>
            <w:shd w:val="clear" w:color="auto" w:fill="auto"/>
            <w:noWrap/>
            <w:vAlign w:val="bottom"/>
          </w:tcPr>
          <w:p w14:paraId="07224E0B" w14:textId="77777777" w:rsidR="00E3226F" w:rsidRPr="006E5612" w:rsidRDefault="00E3226F" w:rsidP="00CB5559">
            <w:pPr>
              <w:keepNext/>
              <w:spacing w:after="0"/>
              <w:jc w:val="center"/>
            </w:pPr>
            <w:r w:rsidRPr="006E5612">
              <w:t>0.50</w:t>
            </w:r>
          </w:p>
        </w:tc>
        <w:tc>
          <w:tcPr>
            <w:tcW w:w="0" w:type="auto"/>
            <w:tcBorders>
              <w:top w:val="nil"/>
              <w:left w:val="nil"/>
              <w:bottom w:val="nil"/>
              <w:right w:val="nil"/>
            </w:tcBorders>
            <w:shd w:val="clear" w:color="auto" w:fill="auto"/>
            <w:noWrap/>
            <w:vAlign w:val="center"/>
          </w:tcPr>
          <w:p w14:paraId="4A189E9D" w14:textId="77777777" w:rsidR="00E3226F" w:rsidRPr="006E5612" w:rsidRDefault="00E3226F" w:rsidP="00CB5559">
            <w:pPr>
              <w:keepNext/>
              <w:spacing w:after="0"/>
              <w:jc w:val="right"/>
            </w:pPr>
            <w:r w:rsidRPr="006E5612">
              <w:t>4,241</w:t>
            </w:r>
          </w:p>
        </w:tc>
        <w:tc>
          <w:tcPr>
            <w:tcW w:w="0" w:type="auto"/>
            <w:tcBorders>
              <w:top w:val="nil"/>
              <w:left w:val="nil"/>
              <w:bottom w:val="nil"/>
              <w:right w:val="nil"/>
            </w:tcBorders>
            <w:shd w:val="clear" w:color="auto" w:fill="auto"/>
            <w:noWrap/>
            <w:vAlign w:val="bottom"/>
          </w:tcPr>
          <w:p w14:paraId="2D89C3BB" w14:textId="77777777" w:rsidR="00E3226F" w:rsidRPr="006E5612" w:rsidRDefault="00E3226F" w:rsidP="00CB5559">
            <w:pPr>
              <w:keepNext/>
              <w:spacing w:after="0"/>
              <w:jc w:val="right"/>
            </w:pPr>
            <w:r w:rsidRPr="006E5612">
              <w:t>1%</w:t>
            </w:r>
          </w:p>
        </w:tc>
        <w:tc>
          <w:tcPr>
            <w:tcW w:w="0" w:type="auto"/>
            <w:tcBorders>
              <w:top w:val="nil"/>
              <w:left w:val="nil"/>
              <w:bottom w:val="nil"/>
              <w:right w:val="nil"/>
            </w:tcBorders>
            <w:shd w:val="clear" w:color="auto" w:fill="auto"/>
            <w:noWrap/>
            <w:vAlign w:val="bottom"/>
          </w:tcPr>
          <w:p w14:paraId="1926967B" w14:textId="77777777" w:rsidR="00E3226F" w:rsidRPr="006E5612" w:rsidRDefault="00E3226F" w:rsidP="00CB5559">
            <w:pPr>
              <w:keepNext/>
              <w:spacing w:after="0"/>
              <w:jc w:val="right"/>
            </w:pPr>
            <w:r w:rsidRPr="006E5612">
              <w:t>240</w:t>
            </w:r>
          </w:p>
        </w:tc>
        <w:tc>
          <w:tcPr>
            <w:tcW w:w="0" w:type="auto"/>
            <w:tcBorders>
              <w:top w:val="nil"/>
              <w:left w:val="nil"/>
              <w:bottom w:val="nil"/>
              <w:right w:val="nil"/>
            </w:tcBorders>
            <w:shd w:val="clear" w:color="auto" w:fill="auto"/>
            <w:noWrap/>
            <w:vAlign w:val="bottom"/>
          </w:tcPr>
          <w:p w14:paraId="7867B356" w14:textId="77777777" w:rsidR="00E3226F" w:rsidRPr="006E5612" w:rsidRDefault="00E3226F" w:rsidP="00CB5559">
            <w:pPr>
              <w:keepNext/>
              <w:spacing w:after="0"/>
              <w:jc w:val="right"/>
            </w:pPr>
            <w:r w:rsidRPr="006E5612">
              <w:t>300</w:t>
            </w:r>
          </w:p>
        </w:tc>
      </w:tr>
      <w:tr w:rsidR="00E3226F" w:rsidRPr="0072709A" w14:paraId="016F0A4E" w14:textId="77777777" w:rsidTr="00E3226F">
        <w:trPr>
          <w:gridAfter w:val="4"/>
          <w:cantSplit/>
          <w:trHeight w:val="276"/>
          <w:jc w:val="center"/>
        </w:trPr>
        <w:tc>
          <w:tcPr>
            <w:tcW w:w="0" w:type="auto"/>
            <w:tcBorders>
              <w:top w:val="nil"/>
              <w:left w:val="nil"/>
              <w:bottom w:val="nil"/>
              <w:right w:val="nil"/>
            </w:tcBorders>
            <w:shd w:val="clear" w:color="auto" w:fill="auto"/>
            <w:noWrap/>
            <w:vAlign w:val="bottom"/>
            <w:hideMark/>
          </w:tcPr>
          <w:p w14:paraId="72707639" w14:textId="77777777" w:rsidR="00E3226F" w:rsidRPr="006E5612" w:rsidRDefault="00E3226F" w:rsidP="00CB5559">
            <w:pPr>
              <w:keepNext/>
              <w:spacing w:after="0"/>
              <w:jc w:val="center"/>
            </w:pPr>
            <w:r w:rsidRPr="006E5612">
              <w:t>0.75</w:t>
            </w:r>
          </w:p>
        </w:tc>
        <w:tc>
          <w:tcPr>
            <w:tcW w:w="0" w:type="auto"/>
            <w:tcBorders>
              <w:top w:val="nil"/>
              <w:left w:val="nil"/>
              <w:bottom w:val="nil"/>
              <w:right w:val="nil"/>
            </w:tcBorders>
            <w:shd w:val="clear" w:color="auto" w:fill="auto"/>
            <w:noWrap/>
            <w:vAlign w:val="center"/>
            <w:hideMark/>
          </w:tcPr>
          <w:p w14:paraId="5F74580D" w14:textId="77777777" w:rsidR="00E3226F" w:rsidRPr="006E5612" w:rsidRDefault="00E3226F" w:rsidP="00CB5559">
            <w:pPr>
              <w:keepNext/>
              <w:spacing w:after="0"/>
              <w:jc w:val="right"/>
            </w:pPr>
            <w:r w:rsidRPr="006E5612">
              <w:t>4,091</w:t>
            </w:r>
          </w:p>
        </w:tc>
        <w:tc>
          <w:tcPr>
            <w:tcW w:w="0" w:type="auto"/>
            <w:tcBorders>
              <w:top w:val="nil"/>
              <w:left w:val="nil"/>
              <w:bottom w:val="nil"/>
              <w:right w:val="nil"/>
            </w:tcBorders>
            <w:shd w:val="clear" w:color="auto" w:fill="auto"/>
            <w:noWrap/>
            <w:vAlign w:val="bottom"/>
            <w:hideMark/>
          </w:tcPr>
          <w:p w14:paraId="0D62C191" w14:textId="77777777" w:rsidR="00E3226F" w:rsidRPr="006E5612" w:rsidRDefault="00E3226F" w:rsidP="00CB5559">
            <w:pPr>
              <w:keepNext/>
              <w:spacing w:after="0"/>
              <w:jc w:val="right"/>
            </w:pPr>
            <w:r w:rsidRPr="006E5612">
              <w:t>0%</w:t>
            </w:r>
          </w:p>
        </w:tc>
        <w:tc>
          <w:tcPr>
            <w:tcW w:w="0" w:type="auto"/>
            <w:tcBorders>
              <w:top w:val="nil"/>
              <w:left w:val="nil"/>
              <w:bottom w:val="nil"/>
              <w:right w:val="nil"/>
            </w:tcBorders>
            <w:shd w:val="clear" w:color="auto" w:fill="auto"/>
            <w:noWrap/>
            <w:vAlign w:val="bottom"/>
            <w:hideMark/>
          </w:tcPr>
          <w:p w14:paraId="20A89F29" w14:textId="77777777" w:rsidR="00E3226F" w:rsidRPr="006E5612" w:rsidRDefault="00E3226F" w:rsidP="00CB5559">
            <w:pPr>
              <w:keepNext/>
              <w:spacing w:after="0"/>
              <w:jc w:val="right"/>
            </w:pPr>
            <w:r w:rsidRPr="006E5612">
              <w:t>350</w:t>
            </w:r>
          </w:p>
        </w:tc>
        <w:tc>
          <w:tcPr>
            <w:tcW w:w="0" w:type="auto"/>
            <w:tcBorders>
              <w:top w:val="nil"/>
              <w:left w:val="nil"/>
              <w:bottom w:val="nil"/>
              <w:right w:val="nil"/>
            </w:tcBorders>
            <w:shd w:val="clear" w:color="auto" w:fill="auto"/>
            <w:noWrap/>
            <w:vAlign w:val="bottom"/>
            <w:hideMark/>
          </w:tcPr>
          <w:p w14:paraId="7FEEA64E" w14:textId="77777777" w:rsidR="00E3226F" w:rsidRPr="006E5612" w:rsidRDefault="00E3226F" w:rsidP="00CB5559">
            <w:pPr>
              <w:keepNext/>
              <w:spacing w:after="0"/>
              <w:jc w:val="right"/>
            </w:pPr>
            <w:r w:rsidRPr="006E5612">
              <w:t>430</w:t>
            </w:r>
          </w:p>
        </w:tc>
      </w:tr>
      <w:tr w:rsidR="00E3226F" w:rsidRPr="0072709A" w14:paraId="6A268329" w14:textId="77777777" w:rsidTr="00E3226F">
        <w:trPr>
          <w:gridAfter w:val="4"/>
          <w:cantSplit/>
          <w:trHeight w:val="267"/>
          <w:jc w:val="center"/>
        </w:trPr>
        <w:tc>
          <w:tcPr>
            <w:tcW w:w="0" w:type="auto"/>
            <w:tcBorders>
              <w:top w:val="nil"/>
              <w:left w:val="nil"/>
              <w:right w:val="nil"/>
            </w:tcBorders>
            <w:shd w:val="clear" w:color="auto" w:fill="auto"/>
            <w:noWrap/>
            <w:vAlign w:val="bottom"/>
            <w:hideMark/>
          </w:tcPr>
          <w:p w14:paraId="1BEB1181" w14:textId="77777777" w:rsidR="00E3226F" w:rsidRPr="006E5612" w:rsidRDefault="00E3226F" w:rsidP="00CB5559">
            <w:pPr>
              <w:keepNext/>
              <w:spacing w:after="0"/>
              <w:jc w:val="center"/>
            </w:pPr>
            <w:r w:rsidRPr="006E5612">
              <w:t>1.00</w:t>
            </w:r>
          </w:p>
        </w:tc>
        <w:tc>
          <w:tcPr>
            <w:tcW w:w="0" w:type="auto"/>
            <w:tcBorders>
              <w:top w:val="nil"/>
              <w:left w:val="nil"/>
              <w:right w:val="nil"/>
            </w:tcBorders>
            <w:shd w:val="clear" w:color="auto" w:fill="auto"/>
            <w:noWrap/>
            <w:vAlign w:val="center"/>
            <w:hideMark/>
          </w:tcPr>
          <w:p w14:paraId="240B3A10" w14:textId="77777777" w:rsidR="00E3226F" w:rsidRPr="006E5612" w:rsidRDefault="00E3226F" w:rsidP="00CB5559">
            <w:pPr>
              <w:keepNext/>
              <w:spacing w:after="0"/>
              <w:jc w:val="right"/>
            </w:pPr>
            <w:r w:rsidRPr="006E5612">
              <w:t>3,948</w:t>
            </w:r>
          </w:p>
        </w:tc>
        <w:tc>
          <w:tcPr>
            <w:tcW w:w="0" w:type="auto"/>
            <w:tcBorders>
              <w:top w:val="nil"/>
              <w:left w:val="nil"/>
              <w:right w:val="nil"/>
            </w:tcBorders>
            <w:shd w:val="clear" w:color="auto" w:fill="auto"/>
            <w:noWrap/>
            <w:vAlign w:val="bottom"/>
            <w:hideMark/>
          </w:tcPr>
          <w:p w14:paraId="5DBF3FA1" w14:textId="77777777" w:rsidR="00E3226F" w:rsidRPr="006E5612" w:rsidRDefault="00E3226F" w:rsidP="00CB5559">
            <w:pPr>
              <w:keepNext/>
              <w:spacing w:after="0"/>
              <w:jc w:val="right"/>
            </w:pPr>
            <w:r w:rsidRPr="006E5612">
              <w:t>0%</w:t>
            </w:r>
          </w:p>
        </w:tc>
        <w:tc>
          <w:tcPr>
            <w:tcW w:w="0" w:type="auto"/>
            <w:tcBorders>
              <w:top w:val="nil"/>
              <w:left w:val="nil"/>
              <w:right w:val="nil"/>
            </w:tcBorders>
            <w:shd w:val="clear" w:color="auto" w:fill="auto"/>
            <w:noWrap/>
            <w:vAlign w:val="bottom"/>
            <w:hideMark/>
          </w:tcPr>
          <w:p w14:paraId="0CF8F472" w14:textId="77777777" w:rsidR="00E3226F" w:rsidRPr="006E5612" w:rsidRDefault="00E3226F" w:rsidP="00CB5559">
            <w:pPr>
              <w:keepNext/>
              <w:spacing w:after="0"/>
              <w:jc w:val="right"/>
            </w:pPr>
            <w:r w:rsidRPr="006E5612">
              <w:t>460</w:t>
            </w:r>
          </w:p>
        </w:tc>
        <w:tc>
          <w:tcPr>
            <w:tcW w:w="0" w:type="auto"/>
            <w:tcBorders>
              <w:top w:val="nil"/>
              <w:left w:val="nil"/>
              <w:right w:val="nil"/>
            </w:tcBorders>
            <w:shd w:val="clear" w:color="auto" w:fill="auto"/>
            <w:noWrap/>
            <w:vAlign w:val="bottom"/>
            <w:hideMark/>
          </w:tcPr>
          <w:p w14:paraId="45C67941" w14:textId="77777777" w:rsidR="00E3226F" w:rsidRPr="006E5612" w:rsidRDefault="00E3226F" w:rsidP="00CB5559">
            <w:pPr>
              <w:keepNext/>
              <w:spacing w:after="0"/>
              <w:jc w:val="right"/>
            </w:pPr>
            <w:r w:rsidRPr="006E5612">
              <w:t>550</w:t>
            </w:r>
          </w:p>
        </w:tc>
      </w:tr>
      <w:tr w:rsidR="00E3226F" w:rsidRPr="0072709A" w14:paraId="25EBEC6C" w14:textId="77777777" w:rsidTr="00E3226F">
        <w:trPr>
          <w:gridAfter w:val="4"/>
          <w:cantSplit/>
          <w:trHeight w:val="276"/>
          <w:jc w:val="center"/>
        </w:trPr>
        <w:tc>
          <w:tcPr>
            <w:tcW w:w="0" w:type="auto"/>
            <w:tcBorders>
              <w:top w:val="nil"/>
              <w:left w:val="nil"/>
              <w:bottom w:val="single" w:sz="4" w:space="0" w:color="auto"/>
              <w:right w:val="nil"/>
            </w:tcBorders>
            <w:shd w:val="clear" w:color="auto" w:fill="auto"/>
            <w:noWrap/>
            <w:vAlign w:val="bottom"/>
            <w:hideMark/>
          </w:tcPr>
          <w:p w14:paraId="62829FD9" w14:textId="77777777" w:rsidR="00E3226F" w:rsidRPr="006E5612" w:rsidRDefault="00E3226F" w:rsidP="00CB5559">
            <w:pPr>
              <w:keepNext/>
              <w:spacing w:after="0"/>
              <w:jc w:val="center"/>
            </w:pPr>
            <w:r w:rsidRPr="006E5612">
              <w:t>1.25</w:t>
            </w:r>
          </w:p>
        </w:tc>
        <w:tc>
          <w:tcPr>
            <w:tcW w:w="0" w:type="auto"/>
            <w:tcBorders>
              <w:top w:val="nil"/>
              <w:left w:val="nil"/>
              <w:bottom w:val="single" w:sz="4" w:space="0" w:color="auto"/>
              <w:right w:val="nil"/>
            </w:tcBorders>
            <w:shd w:val="clear" w:color="auto" w:fill="auto"/>
            <w:noWrap/>
            <w:vAlign w:val="center"/>
            <w:hideMark/>
          </w:tcPr>
          <w:p w14:paraId="483B2D82" w14:textId="77777777" w:rsidR="00E3226F" w:rsidRPr="006E5612" w:rsidRDefault="00E3226F" w:rsidP="00CB5559">
            <w:pPr>
              <w:keepNext/>
              <w:spacing w:after="0"/>
              <w:jc w:val="right"/>
            </w:pPr>
            <w:r w:rsidRPr="006E5612">
              <w:t>3,814</w:t>
            </w:r>
          </w:p>
        </w:tc>
        <w:tc>
          <w:tcPr>
            <w:tcW w:w="0" w:type="auto"/>
            <w:tcBorders>
              <w:top w:val="nil"/>
              <w:left w:val="nil"/>
              <w:bottom w:val="single" w:sz="4" w:space="0" w:color="auto"/>
              <w:right w:val="nil"/>
            </w:tcBorders>
            <w:shd w:val="clear" w:color="auto" w:fill="auto"/>
            <w:noWrap/>
            <w:vAlign w:val="bottom"/>
            <w:hideMark/>
          </w:tcPr>
          <w:p w14:paraId="214DC0BA" w14:textId="77777777" w:rsidR="00E3226F" w:rsidRPr="006E5612" w:rsidRDefault="00E3226F" w:rsidP="00CB5559">
            <w:pPr>
              <w:spacing w:after="0"/>
              <w:jc w:val="right"/>
            </w:pPr>
            <w:r w:rsidRPr="006E5612">
              <w:t>0%</w:t>
            </w:r>
          </w:p>
        </w:tc>
        <w:tc>
          <w:tcPr>
            <w:tcW w:w="0" w:type="auto"/>
            <w:tcBorders>
              <w:top w:val="nil"/>
              <w:left w:val="nil"/>
              <w:bottom w:val="single" w:sz="4" w:space="0" w:color="auto"/>
              <w:right w:val="nil"/>
            </w:tcBorders>
            <w:shd w:val="clear" w:color="auto" w:fill="auto"/>
            <w:noWrap/>
            <w:vAlign w:val="bottom"/>
            <w:hideMark/>
          </w:tcPr>
          <w:p w14:paraId="3EE753A5" w14:textId="77777777" w:rsidR="00E3226F" w:rsidRPr="006E5612" w:rsidRDefault="00E3226F" w:rsidP="00CB5559">
            <w:pPr>
              <w:keepNext/>
              <w:spacing w:after="0"/>
              <w:jc w:val="right"/>
            </w:pPr>
            <w:r w:rsidRPr="006E5612">
              <w:t>570</w:t>
            </w:r>
          </w:p>
        </w:tc>
        <w:tc>
          <w:tcPr>
            <w:tcW w:w="0" w:type="auto"/>
            <w:tcBorders>
              <w:top w:val="nil"/>
              <w:left w:val="nil"/>
              <w:bottom w:val="single" w:sz="4" w:space="0" w:color="auto"/>
              <w:right w:val="nil"/>
            </w:tcBorders>
            <w:shd w:val="clear" w:color="auto" w:fill="auto"/>
            <w:noWrap/>
            <w:vAlign w:val="bottom"/>
            <w:hideMark/>
          </w:tcPr>
          <w:p w14:paraId="4B80C3FF" w14:textId="77777777" w:rsidR="00E3226F" w:rsidRPr="006E5612" w:rsidRDefault="00E3226F" w:rsidP="00CB5559">
            <w:pPr>
              <w:keepNext/>
              <w:spacing w:after="0"/>
              <w:jc w:val="right"/>
            </w:pPr>
            <w:r w:rsidRPr="006E5612">
              <w:t>660</w:t>
            </w:r>
          </w:p>
        </w:tc>
      </w:tr>
      <w:tr w:rsidR="00E3226F" w:rsidRPr="0072709A" w14:paraId="18CAFC49" w14:textId="77777777" w:rsidTr="00E3226F">
        <w:trPr>
          <w:cantSplit/>
          <w:jc w:val="center"/>
        </w:trPr>
        <w:tc>
          <w:tcPr>
            <w:tcW w:w="0" w:type="auto"/>
            <w:tcBorders>
              <w:top w:val="single" w:sz="4" w:space="0" w:color="auto"/>
              <w:left w:val="nil"/>
              <w:right w:val="nil"/>
            </w:tcBorders>
            <w:shd w:val="clear" w:color="auto" w:fill="auto"/>
            <w:noWrap/>
            <w:vAlign w:val="bottom"/>
            <w:hideMark/>
          </w:tcPr>
          <w:p w14:paraId="66D9BC74" w14:textId="77777777" w:rsidR="00E3226F" w:rsidRPr="0072709A" w:rsidRDefault="00E3226F" w:rsidP="00CB5559">
            <w:pPr>
              <w:keepNext/>
              <w:spacing w:after="0"/>
              <w:jc w:val="right"/>
              <w:rPr>
                <w:sz w:val="20"/>
              </w:rPr>
            </w:pPr>
          </w:p>
        </w:tc>
        <w:tc>
          <w:tcPr>
            <w:tcW w:w="0" w:type="auto"/>
            <w:tcBorders>
              <w:top w:val="single" w:sz="4" w:space="0" w:color="auto"/>
              <w:left w:val="nil"/>
              <w:right w:val="nil"/>
            </w:tcBorders>
            <w:shd w:val="clear" w:color="auto" w:fill="auto"/>
            <w:noWrap/>
            <w:vAlign w:val="bottom"/>
            <w:hideMark/>
          </w:tcPr>
          <w:p w14:paraId="4A1FAA72" w14:textId="77777777" w:rsidR="00E3226F" w:rsidRPr="0072709A" w:rsidRDefault="00E3226F" w:rsidP="00CB5559">
            <w:pPr>
              <w:keepNext/>
              <w:spacing w:after="0"/>
              <w:rPr>
                <w:sz w:val="20"/>
              </w:rPr>
            </w:pPr>
          </w:p>
        </w:tc>
        <w:tc>
          <w:tcPr>
            <w:tcW w:w="0" w:type="auto"/>
            <w:tcBorders>
              <w:top w:val="single" w:sz="4" w:space="0" w:color="auto"/>
              <w:left w:val="nil"/>
              <w:right w:val="nil"/>
            </w:tcBorders>
            <w:shd w:val="clear" w:color="auto" w:fill="auto"/>
            <w:noWrap/>
            <w:vAlign w:val="bottom"/>
            <w:hideMark/>
          </w:tcPr>
          <w:p w14:paraId="3BDABE5E" w14:textId="77777777" w:rsidR="00E3226F" w:rsidRPr="0072709A" w:rsidRDefault="00E3226F" w:rsidP="00CB5559">
            <w:pPr>
              <w:keepNext/>
              <w:spacing w:after="0"/>
              <w:rPr>
                <w:sz w:val="20"/>
              </w:rPr>
            </w:pPr>
          </w:p>
        </w:tc>
        <w:tc>
          <w:tcPr>
            <w:tcW w:w="0" w:type="auto"/>
            <w:tcBorders>
              <w:top w:val="single" w:sz="4" w:space="0" w:color="auto"/>
              <w:left w:val="nil"/>
              <w:right w:val="nil"/>
            </w:tcBorders>
            <w:shd w:val="clear" w:color="auto" w:fill="auto"/>
            <w:noWrap/>
            <w:vAlign w:val="bottom"/>
            <w:hideMark/>
          </w:tcPr>
          <w:p w14:paraId="51C5E5A7" w14:textId="77777777" w:rsidR="00E3226F" w:rsidRPr="0072709A" w:rsidRDefault="00E3226F" w:rsidP="00CB5559">
            <w:pPr>
              <w:keepNext/>
              <w:spacing w:after="0"/>
              <w:rPr>
                <w:sz w:val="20"/>
              </w:rPr>
            </w:pPr>
          </w:p>
        </w:tc>
        <w:tc>
          <w:tcPr>
            <w:tcW w:w="0" w:type="auto"/>
            <w:tcBorders>
              <w:top w:val="single" w:sz="4" w:space="0" w:color="auto"/>
              <w:left w:val="nil"/>
              <w:right w:val="nil"/>
            </w:tcBorders>
            <w:shd w:val="clear" w:color="auto" w:fill="auto"/>
            <w:noWrap/>
            <w:vAlign w:val="bottom"/>
            <w:hideMark/>
          </w:tcPr>
          <w:p w14:paraId="300818C7" w14:textId="77777777" w:rsidR="00E3226F" w:rsidRPr="0072709A" w:rsidRDefault="00E3226F" w:rsidP="00CB5559">
            <w:pPr>
              <w:keepNext/>
              <w:spacing w:after="0"/>
              <w:rPr>
                <w:sz w:val="20"/>
              </w:rPr>
            </w:pPr>
          </w:p>
        </w:tc>
        <w:tc>
          <w:tcPr>
            <w:tcW w:w="0" w:type="auto"/>
            <w:tcBorders>
              <w:top w:val="single" w:sz="4" w:space="0" w:color="auto"/>
              <w:left w:val="nil"/>
              <w:right w:val="nil"/>
            </w:tcBorders>
            <w:shd w:val="clear" w:color="auto" w:fill="auto"/>
            <w:noWrap/>
            <w:vAlign w:val="bottom"/>
            <w:hideMark/>
          </w:tcPr>
          <w:p w14:paraId="41AB4D5B" w14:textId="77777777" w:rsidR="00E3226F" w:rsidRPr="0072709A" w:rsidRDefault="00E3226F" w:rsidP="00CB5559">
            <w:pPr>
              <w:keepNext/>
              <w:spacing w:after="0"/>
              <w:rPr>
                <w:sz w:val="20"/>
              </w:rPr>
            </w:pPr>
          </w:p>
        </w:tc>
        <w:tc>
          <w:tcPr>
            <w:tcW w:w="0" w:type="auto"/>
            <w:tcBorders>
              <w:top w:val="single" w:sz="4" w:space="0" w:color="auto"/>
              <w:left w:val="nil"/>
              <w:right w:val="nil"/>
            </w:tcBorders>
            <w:shd w:val="clear" w:color="auto" w:fill="auto"/>
            <w:noWrap/>
            <w:vAlign w:val="bottom"/>
            <w:hideMark/>
          </w:tcPr>
          <w:p w14:paraId="63C36556" w14:textId="77777777" w:rsidR="00E3226F" w:rsidRPr="0072709A" w:rsidRDefault="00E3226F" w:rsidP="00CB5559">
            <w:pPr>
              <w:keepNext/>
              <w:spacing w:after="0"/>
              <w:rPr>
                <w:sz w:val="20"/>
              </w:rPr>
            </w:pPr>
          </w:p>
        </w:tc>
        <w:tc>
          <w:tcPr>
            <w:tcW w:w="0" w:type="auto"/>
            <w:tcBorders>
              <w:top w:val="single" w:sz="4" w:space="0" w:color="auto"/>
              <w:left w:val="nil"/>
              <w:right w:val="nil"/>
            </w:tcBorders>
            <w:shd w:val="clear" w:color="auto" w:fill="auto"/>
            <w:noWrap/>
            <w:vAlign w:val="bottom"/>
            <w:hideMark/>
          </w:tcPr>
          <w:p w14:paraId="5A1386CE" w14:textId="77777777" w:rsidR="00E3226F" w:rsidRPr="0072709A" w:rsidRDefault="00E3226F" w:rsidP="00CB5559">
            <w:pPr>
              <w:keepNext/>
              <w:spacing w:after="0"/>
              <w:rPr>
                <w:sz w:val="20"/>
              </w:rPr>
            </w:pPr>
          </w:p>
        </w:tc>
        <w:tc>
          <w:tcPr>
            <w:tcW w:w="0" w:type="auto"/>
            <w:tcBorders>
              <w:top w:val="single" w:sz="4" w:space="0" w:color="auto"/>
              <w:left w:val="nil"/>
              <w:right w:val="nil"/>
            </w:tcBorders>
            <w:shd w:val="clear" w:color="auto" w:fill="auto"/>
            <w:noWrap/>
            <w:vAlign w:val="bottom"/>
            <w:hideMark/>
          </w:tcPr>
          <w:p w14:paraId="3A2782A0" w14:textId="77777777" w:rsidR="00E3226F" w:rsidRPr="0072709A" w:rsidRDefault="00E3226F" w:rsidP="00CB5559">
            <w:pPr>
              <w:keepNext/>
              <w:spacing w:after="0"/>
              <w:rPr>
                <w:sz w:val="20"/>
              </w:rPr>
            </w:pPr>
          </w:p>
        </w:tc>
      </w:tr>
      <w:tr w:rsidR="00E3226F" w:rsidRPr="0072709A" w14:paraId="3AE17E7A" w14:textId="77777777" w:rsidTr="00E3226F">
        <w:trPr>
          <w:gridAfter w:val="2"/>
          <w:cantSplit/>
          <w:trHeight w:val="248"/>
          <w:jc w:val="center"/>
        </w:trPr>
        <w:tc>
          <w:tcPr>
            <w:tcW w:w="0" w:type="auto"/>
            <w:gridSpan w:val="7"/>
            <w:tcBorders>
              <w:top w:val="nil"/>
              <w:left w:val="nil"/>
              <w:bottom w:val="double" w:sz="4" w:space="0" w:color="auto"/>
              <w:right w:val="nil"/>
            </w:tcBorders>
            <w:shd w:val="clear" w:color="auto" w:fill="auto"/>
            <w:noWrap/>
            <w:vAlign w:val="bottom"/>
            <w:hideMark/>
          </w:tcPr>
          <w:p w14:paraId="2060C13A" w14:textId="77777777" w:rsidR="00E3226F" w:rsidRPr="0072709A" w:rsidRDefault="00E3226F" w:rsidP="00CB5559">
            <w:pPr>
              <w:keepNext/>
              <w:spacing w:after="0"/>
              <w:rPr>
                <w:sz w:val="20"/>
              </w:rPr>
            </w:pPr>
            <w:r w:rsidRPr="0072709A">
              <w:rPr>
                <w:b/>
                <w:sz w:val="20"/>
              </w:rPr>
              <w:t xml:space="preserve">Model </w:t>
            </w:r>
            <w:r>
              <w:rPr>
                <w:b/>
                <w:sz w:val="20"/>
              </w:rPr>
              <w:t>2.3,</w:t>
            </w:r>
            <w:r w:rsidRPr="0072709A">
              <w:rPr>
                <w:b/>
                <w:sz w:val="20"/>
              </w:rPr>
              <w:t xml:space="preserve"> </w:t>
            </w:r>
            <w:r>
              <w:rPr>
                <w:b/>
                <w:sz w:val="20"/>
              </w:rPr>
              <w:t>s</w:t>
            </w:r>
            <w:r w:rsidRPr="0072709A">
              <w:rPr>
                <w:b/>
                <w:sz w:val="20"/>
              </w:rPr>
              <w:t xml:space="preserve">teepness=0.65, recruitment from </w:t>
            </w:r>
            <w:r>
              <w:rPr>
                <w:b/>
                <w:sz w:val="20"/>
              </w:rPr>
              <w:t>2000</w:t>
            </w:r>
            <w:r w:rsidRPr="0072709A">
              <w:rPr>
                <w:b/>
                <w:sz w:val="20"/>
              </w:rPr>
              <w:t>-201</w:t>
            </w:r>
            <w:r>
              <w:rPr>
                <w:b/>
                <w:sz w:val="20"/>
              </w:rPr>
              <w:t>2</w:t>
            </w:r>
          </w:p>
        </w:tc>
      </w:tr>
      <w:tr w:rsidR="00E3226F" w:rsidRPr="0072709A" w14:paraId="22723511" w14:textId="77777777" w:rsidTr="00E3226F">
        <w:trPr>
          <w:gridAfter w:val="4"/>
          <w:cantSplit/>
          <w:trHeight w:val="497"/>
          <w:jc w:val="center"/>
        </w:trPr>
        <w:tc>
          <w:tcPr>
            <w:tcW w:w="0" w:type="auto"/>
            <w:tcBorders>
              <w:top w:val="double" w:sz="4" w:space="0" w:color="auto"/>
              <w:left w:val="nil"/>
              <w:bottom w:val="single" w:sz="4" w:space="0" w:color="auto"/>
              <w:right w:val="nil"/>
            </w:tcBorders>
            <w:shd w:val="clear" w:color="auto" w:fill="auto"/>
            <w:noWrap/>
            <w:vAlign w:val="bottom"/>
            <w:hideMark/>
          </w:tcPr>
          <w:p w14:paraId="77BDE5D5" w14:textId="77777777" w:rsidR="00E3226F" w:rsidRPr="0072709A" w:rsidRDefault="00E3226F" w:rsidP="00CB5559">
            <w:pPr>
              <w:keepNext/>
              <w:spacing w:after="0"/>
              <w:jc w:val="center"/>
              <w:rPr>
                <w:sz w:val="20"/>
              </w:rPr>
            </w:pPr>
            <w:r w:rsidRPr="00E5282C">
              <w:rPr>
                <w:sz w:val="20"/>
              </w:rPr>
              <w:t xml:space="preserve">Multiplier of </w:t>
            </w:r>
            <w:r w:rsidRPr="00E5282C">
              <w:rPr>
                <w:sz w:val="20"/>
              </w:rPr>
              <w:br/>
              <w:t>F</w:t>
            </w:r>
            <w:r w:rsidRPr="00E5282C">
              <w:rPr>
                <w:sz w:val="20"/>
                <w:vertAlign w:val="subscript"/>
              </w:rPr>
              <w:t>201</w:t>
            </w:r>
            <w:r>
              <w:rPr>
                <w:sz w:val="20"/>
                <w:vertAlign w:val="subscript"/>
              </w:rPr>
              <w:t>4</w:t>
            </w:r>
          </w:p>
        </w:tc>
        <w:tc>
          <w:tcPr>
            <w:tcW w:w="0" w:type="auto"/>
            <w:tcBorders>
              <w:top w:val="double" w:sz="4" w:space="0" w:color="auto"/>
              <w:left w:val="nil"/>
              <w:bottom w:val="single" w:sz="4" w:space="0" w:color="auto"/>
              <w:right w:val="nil"/>
            </w:tcBorders>
            <w:shd w:val="clear" w:color="auto" w:fill="auto"/>
            <w:noWrap/>
            <w:vAlign w:val="bottom"/>
            <w:hideMark/>
          </w:tcPr>
          <w:p w14:paraId="4B272293" w14:textId="77777777" w:rsidR="00E3226F" w:rsidRPr="0072709A" w:rsidRDefault="00E3226F" w:rsidP="00CB5559">
            <w:pPr>
              <w:keepNext/>
              <w:spacing w:after="0"/>
              <w:jc w:val="right"/>
              <w:rPr>
                <w:vanish/>
                <w:sz w:val="20"/>
              </w:rPr>
            </w:pPr>
            <w:r w:rsidRPr="0072709A">
              <w:rPr>
                <w:sz w:val="20"/>
              </w:rPr>
              <w:t>B</w:t>
            </w:r>
            <w:r w:rsidRPr="0072709A">
              <w:rPr>
                <w:sz w:val="20"/>
                <w:vertAlign w:val="subscript"/>
              </w:rPr>
              <w:t>201</w:t>
            </w:r>
            <w:r>
              <w:rPr>
                <w:sz w:val="20"/>
                <w:vertAlign w:val="subscript"/>
              </w:rPr>
              <w:t>6</w:t>
            </w:r>
          </w:p>
        </w:tc>
        <w:tc>
          <w:tcPr>
            <w:tcW w:w="0" w:type="auto"/>
            <w:tcBorders>
              <w:top w:val="double" w:sz="4" w:space="0" w:color="auto"/>
              <w:left w:val="nil"/>
              <w:bottom w:val="single" w:sz="4" w:space="0" w:color="auto"/>
              <w:right w:val="nil"/>
            </w:tcBorders>
            <w:shd w:val="clear" w:color="auto" w:fill="auto"/>
            <w:noWrap/>
            <w:vAlign w:val="bottom"/>
            <w:hideMark/>
          </w:tcPr>
          <w:p w14:paraId="37664788" w14:textId="77777777" w:rsidR="00E3226F" w:rsidRPr="0072709A" w:rsidRDefault="00E3226F" w:rsidP="00CB5559">
            <w:pPr>
              <w:keepNext/>
              <w:spacing w:after="0"/>
              <w:jc w:val="right"/>
              <w:rPr>
                <w:vanish/>
                <w:sz w:val="20"/>
              </w:rPr>
            </w:pPr>
            <w:r w:rsidRPr="0072709A">
              <w:rPr>
                <w:sz w:val="20"/>
              </w:rPr>
              <w:t>P(B</w:t>
            </w:r>
            <w:r w:rsidRPr="0072709A">
              <w:rPr>
                <w:sz w:val="20"/>
                <w:vertAlign w:val="subscript"/>
              </w:rPr>
              <w:t>201</w:t>
            </w:r>
            <w:r>
              <w:rPr>
                <w:sz w:val="20"/>
                <w:vertAlign w:val="subscript"/>
              </w:rPr>
              <w:t>6</w:t>
            </w:r>
            <w:r w:rsidRPr="0072709A">
              <w:rPr>
                <w:sz w:val="20"/>
              </w:rPr>
              <w:t xml:space="preserve"> &gt; </w:t>
            </w:r>
            <w:r w:rsidRPr="0072709A">
              <w:rPr>
                <w:i/>
                <w:sz w:val="20"/>
              </w:rPr>
              <w:t>B</w:t>
            </w:r>
            <w:r>
              <w:rPr>
                <w:i/>
                <w:sz w:val="20"/>
                <w:vertAlign w:val="subscript"/>
              </w:rPr>
              <w:t>MSY</w:t>
            </w:r>
            <w:r w:rsidRPr="0072709A">
              <w:rPr>
                <w:sz w:val="20"/>
              </w:rPr>
              <w:t>)</w:t>
            </w:r>
          </w:p>
        </w:tc>
        <w:tc>
          <w:tcPr>
            <w:tcW w:w="0" w:type="auto"/>
            <w:tcBorders>
              <w:top w:val="double" w:sz="4" w:space="0" w:color="auto"/>
              <w:left w:val="nil"/>
              <w:bottom w:val="single" w:sz="4" w:space="0" w:color="auto"/>
              <w:right w:val="nil"/>
            </w:tcBorders>
            <w:shd w:val="clear" w:color="auto" w:fill="auto"/>
            <w:noWrap/>
            <w:vAlign w:val="bottom"/>
            <w:hideMark/>
          </w:tcPr>
          <w:p w14:paraId="69D2F5FC" w14:textId="77777777" w:rsidR="00E3226F" w:rsidRPr="0072709A" w:rsidRDefault="00E3226F" w:rsidP="00CB5559">
            <w:pPr>
              <w:keepNext/>
              <w:spacing w:after="0"/>
              <w:jc w:val="right"/>
              <w:rPr>
                <w:sz w:val="20"/>
              </w:rPr>
            </w:pPr>
            <w:r w:rsidRPr="0072709A">
              <w:rPr>
                <w:sz w:val="20"/>
              </w:rPr>
              <w:t xml:space="preserve">Catch </w:t>
            </w:r>
            <w:r>
              <w:rPr>
                <w:sz w:val="20"/>
              </w:rPr>
              <w:br/>
              <w:t>2015 (kt)</w:t>
            </w:r>
          </w:p>
        </w:tc>
        <w:tc>
          <w:tcPr>
            <w:tcW w:w="0" w:type="auto"/>
            <w:tcBorders>
              <w:top w:val="double" w:sz="4" w:space="0" w:color="auto"/>
              <w:left w:val="nil"/>
              <w:bottom w:val="single" w:sz="4" w:space="0" w:color="auto"/>
              <w:right w:val="nil"/>
            </w:tcBorders>
            <w:shd w:val="clear" w:color="auto" w:fill="auto"/>
            <w:noWrap/>
            <w:vAlign w:val="bottom"/>
            <w:hideMark/>
          </w:tcPr>
          <w:p w14:paraId="5D33AC9F" w14:textId="77777777" w:rsidR="00E3226F" w:rsidRPr="0072709A" w:rsidRDefault="00E3226F" w:rsidP="00CB5559">
            <w:pPr>
              <w:keepNext/>
              <w:spacing w:after="0"/>
              <w:jc w:val="right"/>
              <w:rPr>
                <w:sz w:val="20"/>
              </w:rPr>
            </w:pPr>
            <w:r w:rsidRPr="0072709A">
              <w:rPr>
                <w:sz w:val="20"/>
              </w:rPr>
              <w:t xml:space="preserve">Catch </w:t>
            </w:r>
            <w:r>
              <w:rPr>
                <w:sz w:val="20"/>
              </w:rPr>
              <w:br/>
            </w:r>
            <w:r w:rsidRPr="0072709A">
              <w:rPr>
                <w:sz w:val="20"/>
              </w:rPr>
              <w:t>201</w:t>
            </w:r>
            <w:r>
              <w:rPr>
                <w:sz w:val="20"/>
              </w:rPr>
              <w:t>6 (kt)</w:t>
            </w:r>
          </w:p>
        </w:tc>
      </w:tr>
      <w:tr w:rsidR="00E3226F" w:rsidRPr="0072709A" w14:paraId="2F2F0FEB" w14:textId="77777777" w:rsidTr="00E3226F">
        <w:trPr>
          <w:gridAfter w:val="4"/>
          <w:cantSplit/>
          <w:trHeight w:val="276"/>
          <w:jc w:val="center"/>
        </w:trPr>
        <w:tc>
          <w:tcPr>
            <w:tcW w:w="0" w:type="auto"/>
            <w:tcBorders>
              <w:top w:val="single" w:sz="4" w:space="0" w:color="auto"/>
              <w:left w:val="nil"/>
              <w:bottom w:val="nil"/>
              <w:right w:val="nil"/>
            </w:tcBorders>
            <w:shd w:val="clear" w:color="auto" w:fill="auto"/>
            <w:noWrap/>
            <w:vAlign w:val="bottom"/>
            <w:hideMark/>
          </w:tcPr>
          <w:p w14:paraId="126A96D5" w14:textId="77777777" w:rsidR="00E3226F" w:rsidRPr="0072709A" w:rsidRDefault="00E3226F" w:rsidP="00CB5559">
            <w:pPr>
              <w:keepNext/>
              <w:spacing w:after="0"/>
              <w:jc w:val="center"/>
              <w:rPr>
                <w:sz w:val="20"/>
              </w:rPr>
            </w:pPr>
            <w:r w:rsidRPr="0072709A">
              <w:rPr>
                <w:sz w:val="20"/>
              </w:rPr>
              <w:t>0.00</w:t>
            </w:r>
          </w:p>
        </w:tc>
        <w:tc>
          <w:tcPr>
            <w:tcW w:w="0" w:type="auto"/>
            <w:tcBorders>
              <w:top w:val="single" w:sz="4" w:space="0" w:color="auto"/>
              <w:left w:val="nil"/>
              <w:bottom w:val="nil"/>
              <w:right w:val="nil"/>
            </w:tcBorders>
            <w:shd w:val="clear" w:color="auto" w:fill="auto"/>
            <w:noWrap/>
            <w:vAlign w:val="center"/>
            <w:hideMark/>
          </w:tcPr>
          <w:p w14:paraId="1E293210" w14:textId="77777777" w:rsidR="00E3226F" w:rsidRPr="006E5612" w:rsidRDefault="00E3226F" w:rsidP="00CB5559">
            <w:pPr>
              <w:keepNext/>
              <w:spacing w:after="0"/>
              <w:jc w:val="right"/>
            </w:pPr>
            <w:r w:rsidRPr="006E5612">
              <w:t>4,226</w:t>
            </w:r>
          </w:p>
        </w:tc>
        <w:tc>
          <w:tcPr>
            <w:tcW w:w="0" w:type="auto"/>
            <w:tcBorders>
              <w:top w:val="single" w:sz="4" w:space="0" w:color="auto"/>
              <w:left w:val="nil"/>
              <w:bottom w:val="nil"/>
              <w:right w:val="nil"/>
            </w:tcBorders>
            <w:shd w:val="clear" w:color="auto" w:fill="auto"/>
            <w:noWrap/>
            <w:vAlign w:val="bottom"/>
            <w:hideMark/>
          </w:tcPr>
          <w:p w14:paraId="2D724AA2" w14:textId="77777777" w:rsidR="00E3226F" w:rsidRPr="006E5612" w:rsidRDefault="00E3226F" w:rsidP="00CB5559">
            <w:pPr>
              <w:keepNext/>
              <w:spacing w:after="0"/>
              <w:jc w:val="right"/>
            </w:pPr>
            <w:r w:rsidRPr="006E5612">
              <w:t>1%</w:t>
            </w:r>
          </w:p>
        </w:tc>
        <w:tc>
          <w:tcPr>
            <w:tcW w:w="0" w:type="auto"/>
            <w:tcBorders>
              <w:top w:val="single" w:sz="4" w:space="0" w:color="auto"/>
              <w:left w:val="nil"/>
              <w:bottom w:val="nil"/>
              <w:right w:val="nil"/>
            </w:tcBorders>
            <w:shd w:val="clear" w:color="auto" w:fill="auto"/>
            <w:noWrap/>
            <w:vAlign w:val="bottom"/>
            <w:hideMark/>
          </w:tcPr>
          <w:p w14:paraId="14A5F2E2" w14:textId="77777777" w:rsidR="00E3226F" w:rsidRPr="0072709A" w:rsidRDefault="00E3226F" w:rsidP="00CB5559">
            <w:pPr>
              <w:keepNext/>
              <w:spacing w:after="0"/>
              <w:jc w:val="right"/>
              <w:rPr>
                <w:sz w:val="20"/>
              </w:rPr>
            </w:pPr>
            <w:r w:rsidRPr="006E5612">
              <w:t>0</w:t>
            </w:r>
          </w:p>
        </w:tc>
        <w:tc>
          <w:tcPr>
            <w:tcW w:w="0" w:type="auto"/>
            <w:tcBorders>
              <w:top w:val="single" w:sz="4" w:space="0" w:color="auto"/>
              <w:left w:val="nil"/>
              <w:bottom w:val="nil"/>
              <w:right w:val="nil"/>
            </w:tcBorders>
            <w:shd w:val="clear" w:color="auto" w:fill="auto"/>
            <w:noWrap/>
            <w:vAlign w:val="bottom"/>
            <w:hideMark/>
          </w:tcPr>
          <w:p w14:paraId="3D638D43" w14:textId="77777777" w:rsidR="00E3226F" w:rsidRPr="0072709A" w:rsidRDefault="00E3226F" w:rsidP="00CB5559">
            <w:pPr>
              <w:keepNext/>
              <w:spacing w:after="0"/>
              <w:jc w:val="right"/>
              <w:rPr>
                <w:sz w:val="20"/>
              </w:rPr>
            </w:pPr>
            <w:r w:rsidRPr="006E5612">
              <w:t>0</w:t>
            </w:r>
          </w:p>
        </w:tc>
      </w:tr>
      <w:tr w:rsidR="00E3226F" w:rsidRPr="0072709A" w14:paraId="46B52624" w14:textId="77777777" w:rsidTr="00E3226F">
        <w:trPr>
          <w:gridAfter w:val="4"/>
          <w:cantSplit/>
          <w:trHeight w:val="267"/>
          <w:jc w:val="center"/>
        </w:trPr>
        <w:tc>
          <w:tcPr>
            <w:tcW w:w="0" w:type="auto"/>
            <w:tcBorders>
              <w:top w:val="nil"/>
              <w:left w:val="nil"/>
              <w:bottom w:val="nil"/>
              <w:right w:val="nil"/>
            </w:tcBorders>
            <w:shd w:val="clear" w:color="auto" w:fill="auto"/>
            <w:noWrap/>
            <w:vAlign w:val="bottom"/>
          </w:tcPr>
          <w:p w14:paraId="3B827646" w14:textId="77777777" w:rsidR="00E3226F" w:rsidRPr="0072709A" w:rsidRDefault="00E3226F" w:rsidP="00CB5559">
            <w:pPr>
              <w:keepNext/>
              <w:spacing w:after="0"/>
              <w:jc w:val="center"/>
              <w:rPr>
                <w:sz w:val="20"/>
              </w:rPr>
            </w:pPr>
            <w:r>
              <w:rPr>
                <w:sz w:val="20"/>
              </w:rPr>
              <w:t>0.50</w:t>
            </w:r>
          </w:p>
        </w:tc>
        <w:tc>
          <w:tcPr>
            <w:tcW w:w="0" w:type="auto"/>
            <w:tcBorders>
              <w:top w:val="nil"/>
              <w:left w:val="nil"/>
              <w:bottom w:val="nil"/>
              <w:right w:val="nil"/>
            </w:tcBorders>
            <w:shd w:val="clear" w:color="auto" w:fill="auto"/>
            <w:noWrap/>
            <w:vAlign w:val="center"/>
          </w:tcPr>
          <w:p w14:paraId="17003559" w14:textId="77777777" w:rsidR="00E3226F" w:rsidRPr="006E5612" w:rsidRDefault="00E3226F" w:rsidP="00CB5559">
            <w:pPr>
              <w:keepNext/>
              <w:spacing w:after="0"/>
              <w:jc w:val="right"/>
            </w:pPr>
            <w:r w:rsidRPr="006E5612">
              <w:t>3,901</w:t>
            </w:r>
          </w:p>
        </w:tc>
        <w:tc>
          <w:tcPr>
            <w:tcW w:w="0" w:type="auto"/>
            <w:tcBorders>
              <w:top w:val="nil"/>
              <w:left w:val="nil"/>
              <w:bottom w:val="nil"/>
              <w:right w:val="nil"/>
            </w:tcBorders>
            <w:shd w:val="clear" w:color="auto" w:fill="auto"/>
            <w:noWrap/>
            <w:vAlign w:val="bottom"/>
          </w:tcPr>
          <w:p w14:paraId="7E0B499B" w14:textId="77777777" w:rsidR="00E3226F" w:rsidRPr="006E5612" w:rsidRDefault="00E3226F" w:rsidP="00CB5559">
            <w:pPr>
              <w:keepNext/>
              <w:spacing w:after="0"/>
              <w:jc w:val="right"/>
            </w:pPr>
            <w:r w:rsidRPr="006E5612">
              <w:t>0%</w:t>
            </w:r>
          </w:p>
        </w:tc>
        <w:tc>
          <w:tcPr>
            <w:tcW w:w="0" w:type="auto"/>
            <w:tcBorders>
              <w:top w:val="nil"/>
              <w:left w:val="nil"/>
              <w:bottom w:val="nil"/>
              <w:right w:val="nil"/>
            </w:tcBorders>
            <w:shd w:val="clear" w:color="auto" w:fill="auto"/>
            <w:noWrap/>
            <w:vAlign w:val="bottom"/>
          </w:tcPr>
          <w:p w14:paraId="1213BAF2" w14:textId="77777777" w:rsidR="00E3226F" w:rsidRPr="0072709A" w:rsidRDefault="00E3226F" w:rsidP="00CB5559">
            <w:pPr>
              <w:keepNext/>
              <w:spacing w:after="0"/>
              <w:jc w:val="right"/>
              <w:rPr>
                <w:sz w:val="20"/>
              </w:rPr>
            </w:pPr>
            <w:r w:rsidRPr="006E5612">
              <w:t>240</w:t>
            </w:r>
          </w:p>
        </w:tc>
        <w:tc>
          <w:tcPr>
            <w:tcW w:w="0" w:type="auto"/>
            <w:tcBorders>
              <w:top w:val="nil"/>
              <w:left w:val="nil"/>
              <w:bottom w:val="nil"/>
              <w:right w:val="nil"/>
            </w:tcBorders>
            <w:shd w:val="clear" w:color="auto" w:fill="auto"/>
            <w:noWrap/>
            <w:vAlign w:val="bottom"/>
          </w:tcPr>
          <w:p w14:paraId="19F77E4E" w14:textId="77777777" w:rsidR="00E3226F" w:rsidRPr="0072709A" w:rsidRDefault="00E3226F" w:rsidP="00CB5559">
            <w:pPr>
              <w:keepNext/>
              <w:spacing w:after="0"/>
              <w:jc w:val="right"/>
              <w:rPr>
                <w:sz w:val="20"/>
              </w:rPr>
            </w:pPr>
            <w:r w:rsidRPr="006E5612">
              <w:t>300</w:t>
            </w:r>
          </w:p>
        </w:tc>
      </w:tr>
      <w:tr w:rsidR="00E3226F" w:rsidRPr="0072709A" w14:paraId="2F9455FE" w14:textId="77777777" w:rsidTr="00E3226F">
        <w:trPr>
          <w:gridAfter w:val="4"/>
          <w:cantSplit/>
          <w:trHeight w:val="267"/>
          <w:jc w:val="center"/>
        </w:trPr>
        <w:tc>
          <w:tcPr>
            <w:tcW w:w="0" w:type="auto"/>
            <w:tcBorders>
              <w:top w:val="nil"/>
              <w:left w:val="nil"/>
              <w:bottom w:val="nil"/>
              <w:right w:val="nil"/>
            </w:tcBorders>
            <w:shd w:val="clear" w:color="auto" w:fill="auto"/>
            <w:noWrap/>
            <w:vAlign w:val="bottom"/>
            <w:hideMark/>
          </w:tcPr>
          <w:p w14:paraId="2E850893" w14:textId="77777777" w:rsidR="00E3226F" w:rsidRPr="0072709A" w:rsidRDefault="00E3226F" w:rsidP="00CB5559">
            <w:pPr>
              <w:keepNext/>
              <w:spacing w:after="0"/>
              <w:jc w:val="center"/>
              <w:rPr>
                <w:sz w:val="20"/>
              </w:rPr>
            </w:pPr>
            <w:r w:rsidRPr="0072709A">
              <w:rPr>
                <w:sz w:val="20"/>
              </w:rPr>
              <w:t>0.75</w:t>
            </w:r>
          </w:p>
        </w:tc>
        <w:tc>
          <w:tcPr>
            <w:tcW w:w="0" w:type="auto"/>
            <w:tcBorders>
              <w:top w:val="nil"/>
              <w:left w:val="nil"/>
              <w:bottom w:val="nil"/>
              <w:right w:val="nil"/>
            </w:tcBorders>
            <w:shd w:val="clear" w:color="auto" w:fill="auto"/>
            <w:noWrap/>
            <w:vAlign w:val="center"/>
            <w:hideMark/>
          </w:tcPr>
          <w:p w14:paraId="40A6AC8B" w14:textId="77777777" w:rsidR="00E3226F" w:rsidRPr="006E5612" w:rsidRDefault="00E3226F" w:rsidP="00CB5559">
            <w:pPr>
              <w:keepNext/>
              <w:spacing w:after="0"/>
              <w:jc w:val="right"/>
            </w:pPr>
            <w:r w:rsidRPr="006E5612">
              <w:t>3,753</w:t>
            </w:r>
          </w:p>
        </w:tc>
        <w:tc>
          <w:tcPr>
            <w:tcW w:w="0" w:type="auto"/>
            <w:tcBorders>
              <w:top w:val="nil"/>
              <w:left w:val="nil"/>
              <w:bottom w:val="nil"/>
              <w:right w:val="nil"/>
            </w:tcBorders>
            <w:shd w:val="clear" w:color="auto" w:fill="auto"/>
            <w:noWrap/>
            <w:vAlign w:val="bottom"/>
            <w:hideMark/>
          </w:tcPr>
          <w:p w14:paraId="553632BA" w14:textId="77777777" w:rsidR="00E3226F" w:rsidRPr="006E5612" w:rsidRDefault="00E3226F" w:rsidP="00CB5559">
            <w:pPr>
              <w:keepNext/>
              <w:spacing w:after="0"/>
              <w:jc w:val="right"/>
            </w:pPr>
            <w:r w:rsidRPr="006E5612">
              <w:t>0%</w:t>
            </w:r>
          </w:p>
        </w:tc>
        <w:tc>
          <w:tcPr>
            <w:tcW w:w="0" w:type="auto"/>
            <w:tcBorders>
              <w:top w:val="nil"/>
              <w:left w:val="nil"/>
              <w:bottom w:val="nil"/>
              <w:right w:val="nil"/>
            </w:tcBorders>
            <w:shd w:val="clear" w:color="auto" w:fill="auto"/>
            <w:noWrap/>
            <w:vAlign w:val="bottom"/>
            <w:hideMark/>
          </w:tcPr>
          <w:p w14:paraId="1B44E86F" w14:textId="77777777" w:rsidR="00E3226F" w:rsidRPr="0072709A" w:rsidRDefault="00E3226F" w:rsidP="00CB5559">
            <w:pPr>
              <w:keepNext/>
              <w:spacing w:after="0"/>
              <w:jc w:val="right"/>
              <w:rPr>
                <w:sz w:val="20"/>
              </w:rPr>
            </w:pPr>
            <w:r w:rsidRPr="006E5612">
              <w:t>350</w:t>
            </w:r>
          </w:p>
        </w:tc>
        <w:tc>
          <w:tcPr>
            <w:tcW w:w="0" w:type="auto"/>
            <w:tcBorders>
              <w:top w:val="nil"/>
              <w:left w:val="nil"/>
              <w:bottom w:val="nil"/>
              <w:right w:val="nil"/>
            </w:tcBorders>
            <w:shd w:val="clear" w:color="auto" w:fill="auto"/>
            <w:noWrap/>
            <w:vAlign w:val="bottom"/>
            <w:hideMark/>
          </w:tcPr>
          <w:p w14:paraId="3D959C27" w14:textId="77777777" w:rsidR="00E3226F" w:rsidRPr="0072709A" w:rsidRDefault="00E3226F" w:rsidP="00CB5559">
            <w:pPr>
              <w:keepNext/>
              <w:spacing w:after="0"/>
              <w:jc w:val="right"/>
              <w:rPr>
                <w:sz w:val="20"/>
              </w:rPr>
            </w:pPr>
            <w:r w:rsidRPr="006E5612">
              <w:t>430</w:t>
            </w:r>
          </w:p>
        </w:tc>
      </w:tr>
      <w:tr w:rsidR="00E3226F" w:rsidRPr="0072709A" w14:paraId="5B0F85EA" w14:textId="77777777" w:rsidTr="00E3226F">
        <w:trPr>
          <w:gridAfter w:val="4"/>
          <w:cantSplit/>
          <w:trHeight w:val="276"/>
          <w:jc w:val="center"/>
        </w:trPr>
        <w:tc>
          <w:tcPr>
            <w:tcW w:w="0" w:type="auto"/>
            <w:tcBorders>
              <w:top w:val="nil"/>
              <w:left w:val="nil"/>
              <w:right w:val="nil"/>
            </w:tcBorders>
            <w:shd w:val="clear" w:color="auto" w:fill="auto"/>
            <w:noWrap/>
            <w:vAlign w:val="bottom"/>
            <w:hideMark/>
          </w:tcPr>
          <w:p w14:paraId="68B3B23C" w14:textId="77777777" w:rsidR="00E3226F" w:rsidRPr="0072709A" w:rsidRDefault="00E3226F" w:rsidP="00CB5559">
            <w:pPr>
              <w:keepNext/>
              <w:spacing w:after="0"/>
              <w:jc w:val="center"/>
              <w:rPr>
                <w:sz w:val="20"/>
              </w:rPr>
            </w:pPr>
            <w:r w:rsidRPr="0072709A">
              <w:rPr>
                <w:sz w:val="20"/>
              </w:rPr>
              <w:t>1.00</w:t>
            </w:r>
          </w:p>
        </w:tc>
        <w:tc>
          <w:tcPr>
            <w:tcW w:w="0" w:type="auto"/>
            <w:tcBorders>
              <w:top w:val="nil"/>
              <w:left w:val="nil"/>
              <w:right w:val="nil"/>
            </w:tcBorders>
            <w:shd w:val="clear" w:color="auto" w:fill="auto"/>
            <w:noWrap/>
            <w:vAlign w:val="center"/>
            <w:hideMark/>
          </w:tcPr>
          <w:p w14:paraId="50C99424" w14:textId="77777777" w:rsidR="00E3226F" w:rsidRPr="006E5612" w:rsidRDefault="00E3226F" w:rsidP="00CB5559">
            <w:pPr>
              <w:keepNext/>
              <w:spacing w:after="0"/>
              <w:jc w:val="right"/>
            </w:pPr>
            <w:r w:rsidRPr="006E5612">
              <w:t>3,613</w:t>
            </w:r>
          </w:p>
        </w:tc>
        <w:tc>
          <w:tcPr>
            <w:tcW w:w="0" w:type="auto"/>
            <w:tcBorders>
              <w:top w:val="nil"/>
              <w:left w:val="nil"/>
              <w:right w:val="nil"/>
            </w:tcBorders>
            <w:shd w:val="clear" w:color="auto" w:fill="auto"/>
            <w:noWrap/>
            <w:vAlign w:val="bottom"/>
            <w:hideMark/>
          </w:tcPr>
          <w:p w14:paraId="60451BF1" w14:textId="77777777" w:rsidR="00E3226F" w:rsidRPr="006E5612" w:rsidRDefault="00E3226F" w:rsidP="00CB5559">
            <w:pPr>
              <w:keepNext/>
              <w:spacing w:after="0"/>
              <w:jc w:val="right"/>
            </w:pPr>
            <w:r w:rsidRPr="006E5612">
              <w:t>0%</w:t>
            </w:r>
          </w:p>
        </w:tc>
        <w:tc>
          <w:tcPr>
            <w:tcW w:w="0" w:type="auto"/>
            <w:tcBorders>
              <w:top w:val="nil"/>
              <w:left w:val="nil"/>
              <w:right w:val="nil"/>
            </w:tcBorders>
            <w:shd w:val="clear" w:color="auto" w:fill="auto"/>
            <w:noWrap/>
            <w:vAlign w:val="bottom"/>
            <w:hideMark/>
          </w:tcPr>
          <w:p w14:paraId="564DD7D9" w14:textId="77777777" w:rsidR="00E3226F" w:rsidRPr="0072709A" w:rsidRDefault="00E3226F" w:rsidP="00CB5559">
            <w:pPr>
              <w:keepNext/>
              <w:spacing w:after="0"/>
              <w:jc w:val="right"/>
              <w:rPr>
                <w:sz w:val="20"/>
              </w:rPr>
            </w:pPr>
            <w:r w:rsidRPr="006E5612">
              <w:t>460</w:t>
            </w:r>
          </w:p>
        </w:tc>
        <w:tc>
          <w:tcPr>
            <w:tcW w:w="0" w:type="auto"/>
            <w:tcBorders>
              <w:top w:val="nil"/>
              <w:left w:val="nil"/>
              <w:right w:val="nil"/>
            </w:tcBorders>
            <w:shd w:val="clear" w:color="auto" w:fill="auto"/>
            <w:noWrap/>
            <w:vAlign w:val="bottom"/>
            <w:hideMark/>
          </w:tcPr>
          <w:p w14:paraId="035E7DDF" w14:textId="77777777" w:rsidR="00E3226F" w:rsidRPr="0072709A" w:rsidRDefault="00E3226F" w:rsidP="00CB5559">
            <w:pPr>
              <w:keepNext/>
              <w:spacing w:after="0"/>
              <w:jc w:val="right"/>
              <w:rPr>
                <w:sz w:val="20"/>
              </w:rPr>
            </w:pPr>
            <w:r w:rsidRPr="006E5612">
              <w:t>550</w:t>
            </w:r>
          </w:p>
        </w:tc>
      </w:tr>
      <w:tr w:rsidR="00E3226F" w:rsidRPr="0072709A" w14:paraId="15AA2737" w14:textId="77777777" w:rsidTr="00E3226F">
        <w:trPr>
          <w:gridAfter w:val="4"/>
          <w:cantSplit/>
          <w:trHeight w:val="267"/>
          <w:jc w:val="center"/>
        </w:trPr>
        <w:tc>
          <w:tcPr>
            <w:tcW w:w="0" w:type="auto"/>
            <w:tcBorders>
              <w:top w:val="nil"/>
              <w:left w:val="nil"/>
              <w:bottom w:val="single" w:sz="4" w:space="0" w:color="auto"/>
              <w:right w:val="nil"/>
            </w:tcBorders>
            <w:shd w:val="clear" w:color="auto" w:fill="auto"/>
            <w:noWrap/>
            <w:vAlign w:val="bottom"/>
            <w:hideMark/>
          </w:tcPr>
          <w:p w14:paraId="7D913ACB" w14:textId="77777777" w:rsidR="00E3226F" w:rsidRPr="0072709A" w:rsidRDefault="00E3226F" w:rsidP="00CB5559">
            <w:pPr>
              <w:keepNext/>
              <w:spacing w:after="0"/>
              <w:jc w:val="center"/>
              <w:rPr>
                <w:sz w:val="20"/>
              </w:rPr>
            </w:pPr>
            <w:r w:rsidRPr="0072709A">
              <w:rPr>
                <w:sz w:val="20"/>
              </w:rPr>
              <w:t>1.25</w:t>
            </w:r>
          </w:p>
        </w:tc>
        <w:tc>
          <w:tcPr>
            <w:tcW w:w="0" w:type="auto"/>
            <w:tcBorders>
              <w:top w:val="nil"/>
              <w:left w:val="nil"/>
              <w:bottom w:val="single" w:sz="4" w:space="0" w:color="auto"/>
              <w:right w:val="nil"/>
            </w:tcBorders>
            <w:shd w:val="clear" w:color="auto" w:fill="auto"/>
            <w:noWrap/>
            <w:vAlign w:val="center"/>
            <w:hideMark/>
          </w:tcPr>
          <w:p w14:paraId="47898750" w14:textId="77777777" w:rsidR="00E3226F" w:rsidRPr="006E5612" w:rsidRDefault="00E3226F" w:rsidP="00CB5559">
            <w:pPr>
              <w:keepNext/>
              <w:spacing w:after="0"/>
              <w:jc w:val="right"/>
            </w:pPr>
            <w:r w:rsidRPr="006E5612">
              <w:t>3,481</w:t>
            </w:r>
          </w:p>
        </w:tc>
        <w:tc>
          <w:tcPr>
            <w:tcW w:w="0" w:type="auto"/>
            <w:tcBorders>
              <w:top w:val="nil"/>
              <w:left w:val="nil"/>
              <w:bottom w:val="single" w:sz="4" w:space="0" w:color="auto"/>
              <w:right w:val="nil"/>
            </w:tcBorders>
            <w:shd w:val="clear" w:color="auto" w:fill="auto"/>
            <w:noWrap/>
            <w:vAlign w:val="bottom"/>
            <w:hideMark/>
          </w:tcPr>
          <w:p w14:paraId="0218F4CA" w14:textId="77777777" w:rsidR="00E3226F" w:rsidRPr="006E5612" w:rsidRDefault="00E3226F" w:rsidP="00CB5559">
            <w:pPr>
              <w:keepNext/>
              <w:spacing w:after="0"/>
              <w:jc w:val="right"/>
            </w:pPr>
            <w:r w:rsidRPr="006E5612">
              <w:t>0%</w:t>
            </w:r>
          </w:p>
        </w:tc>
        <w:tc>
          <w:tcPr>
            <w:tcW w:w="0" w:type="auto"/>
            <w:tcBorders>
              <w:top w:val="nil"/>
              <w:left w:val="nil"/>
              <w:bottom w:val="single" w:sz="4" w:space="0" w:color="auto"/>
              <w:right w:val="nil"/>
            </w:tcBorders>
            <w:shd w:val="clear" w:color="auto" w:fill="auto"/>
            <w:noWrap/>
            <w:vAlign w:val="bottom"/>
            <w:hideMark/>
          </w:tcPr>
          <w:p w14:paraId="12738C01" w14:textId="77777777" w:rsidR="00E3226F" w:rsidRPr="00E5282C" w:rsidRDefault="00E3226F" w:rsidP="00CB5559">
            <w:pPr>
              <w:keepNext/>
              <w:spacing w:after="0"/>
              <w:jc w:val="right"/>
              <w:rPr>
                <w:sz w:val="20"/>
              </w:rPr>
            </w:pPr>
            <w:r w:rsidRPr="006E5612">
              <w:t>570</w:t>
            </w:r>
          </w:p>
        </w:tc>
        <w:tc>
          <w:tcPr>
            <w:tcW w:w="0" w:type="auto"/>
            <w:tcBorders>
              <w:top w:val="nil"/>
              <w:left w:val="nil"/>
              <w:bottom w:val="single" w:sz="4" w:space="0" w:color="auto"/>
              <w:right w:val="nil"/>
            </w:tcBorders>
            <w:shd w:val="clear" w:color="auto" w:fill="auto"/>
            <w:noWrap/>
            <w:vAlign w:val="bottom"/>
            <w:hideMark/>
          </w:tcPr>
          <w:p w14:paraId="75CEB2B1" w14:textId="77777777" w:rsidR="00E3226F" w:rsidRPr="00E5282C" w:rsidRDefault="00E3226F" w:rsidP="00CB5559">
            <w:pPr>
              <w:keepNext/>
              <w:spacing w:after="0"/>
              <w:jc w:val="right"/>
              <w:rPr>
                <w:sz w:val="20"/>
              </w:rPr>
            </w:pPr>
            <w:r w:rsidRPr="006E5612">
              <w:t>660</w:t>
            </w:r>
          </w:p>
        </w:tc>
      </w:tr>
    </w:tbl>
    <w:p w14:paraId="3BAF26A6" w14:textId="77777777" w:rsidR="00E3226F" w:rsidRDefault="00E3226F">
      <w:pPr>
        <w:pStyle w:val="Normal1"/>
        <w:ind w:left="1110" w:hanging="1169"/>
      </w:pPr>
    </w:p>
    <w:p w14:paraId="496A7496" w14:textId="77777777" w:rsidR="00513DED" w:rsidRDefault="00CB5559" w:rsidP="00E3226F">
      <w:pPr>
        <w:pStyle w:val="Normal1"/>
        <w:keepNext/>
        <w:keepLines/>
        <w:ind w:left="1166" w:hanging="1166"/>
      </w:pPr>
      <w:r>
        <w:lastRenderedPageBreak/>
        <w:t>Table 2.         Summary results for the near term predictions for models 2.3. Note that “B” in all cases represents thousands of t of spawning stock biomass and B</w:t>
      </w:r>
      <w:r>
        <w:rPr>
          <w:vertAlign w:val="subscript"/>
        </w:rPr>
        <w:t>MSY</w:t>
      </w:r>
      <w:r>
        <w:t xml:space="preserve"> is provisionally taken to be 5.5 million t of spawning biomass in all cases (as estimated from Model 2.3).</w:t>
      </w:r>
    </w:p>
    <w:tbl>
      <w:tblPr>
        <w:tblW w:w="5000" w:type="pct"/>
        <w:tblCellMar>
          <w:left w:w="43" w:type="dxa"/>
          <w:right w:w="43" w:type="dxa"/>
        </w:tblCellMar>
        <w:tblLook w:val="04A0" w:firstRow="1" w:lastRow="0" w:firstColumn="1" w:lastColumn="0" w:noHBand="0" w:noVBand="1"/>
      </w:tblPr>
      <w:tblGrid>
        <w:gridCol w:w="1147"/>
        <w:gridCol w:w="588"/>
        <w:gridCol w:w="116"/>
        <w:gridCol w:w="1217"/>
        <w:gridCol w:w="699"/>
        <w:gridCol w:w="1248"/>
        <w:gridCol w:w="699"/>
        <w:gridCol w:w="1255"/>
        <w:gridCol w:w="850"/>
        <w:gridCol w:w="850"/>
      </w:tblGrid>
      <w:tr w:rsidR="00E3226F" w:rsidRPr="0072709A" w14:paraId="2EDDD48D" w14:textId="77777777" w:rsidTr="00CB5559">
        <w:trPr>
          <w:cantSplit/>
        </w:trPr>
        <w:tc>
          <w:tcPr>
            <w:tcW w:w="3296" w:type="pct"/>
            <w:gridSpan w:val="7"/>
            <w:tcBorders>
              <w:top w:val="nil"/>
              <w:left w:val="nil"/>
              <w:bottom w:val="double" w:sz="4" w:space="0" w:color="auto"/>
              <w:right w:val="nil"/>
            </w:tcBorders>
            <w:shd w:val="clear" w:color="auto" w:fill="auto"/>
            <w:noWrap/>
            <w:vAlign w:val="bottom"/>
            <w:hideMark/>
          </w:tcPr>
          <w:p w14:paraId="140786DF" w14:textId="77777777" w:rsidR="00E3226F" w:rsidRPr="0072709A" w:rsidRDefault="00E3226F" w:rsidP="00CB5559">
            <w:pPr>
              <w:keepNext/>
              <w:spacing w:after="0"/>
              <w:rPr>
                <w:sz w:val="20"/>
              </w:rPr>
            </w:pPr>
            <w:r w:rsidRPr="0072709A">
              <w:rPr>
                <w:b/>
                <w:sz w:val="20"/>
              </w:rPr>
              <w:t xml:space="preserve">Model </w:t>
            </w:r>
            <w:r>
              <w:rPr>
                <w:b/>
                <w:sz w:val="20"/>
              </w:rPr>
              <w:t>2.0,</w:t>
            </w:r>
            <w:r w:rsidRPr="0072709A">
              <w:rPr>
                <w:b/>
                <w:sz w:val="20"/>
              </w:rPr>
              <w:t xml:space="preserve"> </w:t>
            </w:r>
            <w:r>
              <w:rPr>
                <w:b/>
                <w:sz w:val="20"/>
              </w:rPr>
              <w:t>s</w:t>
            </w:r>
            <w:r w:rsidRPr="0072709A">
              <w:rPr>
                <w:b/>
                <w:sz w:val="20"/>
              </w:rPr>
              <w:t>teepness=0.8, recruitment from 1970-201</w:t>
            </w:r>
            <w:r>
              <w:rPr>
                <w:b/>
                <w:sz w:val="20"/>
              </w:rPr>
              <w:t>2</w:t>
            </w:r>
          </w:p>
        </w:tc>
        <w:tc>
          <w:tcPr>
            <w:tcW w:w="724" w:type="pct"/>
            <w:tcBorders>
              <w:top w:val="nil"/>
              <w:left w:val="nil"/>
              <w:bottom w:val="double" w:sz="4" w:space="0" w:color="auto"/>
              <w:right w:val="nil"/>
            </w:tcBorders>
            <w:shd w:val="clear" w:color="auto" w:fill="auto"/>
            <w:noWrap/>
            <w:vAlign w:val="bottom"/>
            <w:hideMark/>
          </w:tcPr>
          <w:p w14:paraId="7FCDCD75" w14:textId="77777777" w:rsidR="00E3226F" w:rsidRPr="0072709A" w:rsidRDefault="00E3226F" w:rsidP="00CB5559">
            <w:pPr>
              <w:keepNext/>
              <w:spacing w:after="0"/>
              <w:rPr>
                <w:sz w:val="20"/>
              </w:rPr>
            </w:pPr>
          </w:p>
        </w:tc>
        <w:tc>
          <w:tcPr>
            <w:tcW w:w="490" w:type="pct"/>
            <w:tcBorders>
              <w:top w:val="nil"/>
              <w:left w:val="nil"/>
              <w:bottom w:val="double" w:sz="4" w:space="0" w:color="auto"/>
              <w:right w:val="nil"/>
            </w:tcBorders>
            <w:shd w:val="clear" w:color="auto" w:fill="auto"/>
            <w:noWrap/>
            <w:vAlign w:val="bottom"/>
            <w:hideMark/>
          </w:tcPr>
          <w:p w14:paraId="15500767" w14:textId="77777777" w:rsidR="00E3226F" w:rsidRPr="0072709A" w:rsidRDefault="00E3226F" w:rsidP="00CB5559">
            <w:pPr>
              <w:keepNext/>
              <w:spacing w:after="0"/>
              <w:rPr>
                <w:sz w:val="20"/>
              </w:rPr>
            </w:pPr>
          </w:p>
        </w:tc>
        <w:tc>
          <w:tcPr>
            <w:tcW w:w="490" w:type="pct"/>
            <w:tcBorders>
              <w:top w:val="nil"/>
              <w:left w:val="nil"/>
              <w:bottom w:val="double" w:sz="4" w:space="0" w:color="auto"/>
              <w:right w:val="nil"/>
            </w:tcBorders>
            <w:shd w:val="clear" w:color="auto" w:fill="auto"/>
            <w:noWrap/>
            <w:vAlign w:val="bottom"/>
            <w:hideMark/>
          </w:tcPr>
          <w:p w14:paraId="3A38C4AC" w14:textId="77777777" w:rsidR="00E3226F" w:rsidRPr="0072709A" w:rsidRDefault="00E3226F" w:rsidP="00CB5559">
            <w:pPr>
              <w:keepNext/>
              <w:spacing w:after="0"/>
              <w:rPr>
                <w:sz w:val="20"/>
              </w:rPr>
            </w:pPr>
          </w:p>
        </w:tc>
      </w:tr>
      <w:tr w:rsidR="00E3226F" w:rsidRPr="0072709A" w14:paraId="12D8BAB7" w14:textId="77777777" w:rsidTr="00CB5559">
        <w:trPr>
          <w:cantSplit/>
        </w:trPr>
        <w:tc>
          <w:tcPr>
            <w:tcW w:w="662" w:type="pct"/>
            <w:tcBorders>
              <w:top w:val="double" w:sz="4" w:space="0" w:color="auto"/>
              <w:left w:val="nil"/>
              <w:bottom w:val="single" w:sz="4" w:space="0" w:color="auto"/>
              <w:right w:val="nil"/>
            </w:tcBorders>
            <w:shd w:val="clear" w:color="auto" w:fill="auto"/>
            <w:noWrap/>
            <w:vAlign w:val="bottom"/>
            <w:hideMark/>
          </w:tcPr>
          <w:p w14:paraId="0F2FE571" w14:textId="77777777" w:rsidR="00E3226F" w:rsidRPr="00E5282C" w:rsidRDefault="00E3226F" w:rsidP="00CB5559">
            <w:pPr>
              <w:keepNext/>
              <w:spacing w:after="0"/>
              <w:jc w:val="center"/>
              <w:rPr>
                <w:sz w:val="20"/>
              </w:rPr>
            </w:pPr>
            <w:r w:rsidRPr="00E5282C">
              <w:rPr>
                <w:sz w:val="20"/>
              </w:rPr>
              <w:t xml:space="preserve">Multiplier of </w:t>
            </w:r>
            <w:r w:rsidRPr="00E5282C">
              <w:rPr>
                <w:sz w:val="20"/>
              </w:rPr>
              <w:br/>
              <w:t>F</w:t>
            </w:r>
            <w:r w:rsidRPr="00E5282C">
              <w:rPr>
                <w:sz w:val="20"/>
                <w:vertAlign w:val="subscript"/>
              </w:rPr>
              <w:t>201</w:t>
            </w:r>
            <w:r>
              <w:rPr>
                <w:sz w:val="20"/>
                <w:vertAlign w:val="subscript"/>
              </w:rPr>
              <w:t>4</w:t>
            </w:r>
          </w:p>
        </w:tc>
        <w:tc>
          <w:tcPr>
            <w:tcW w:w="406" w:type="pct"/>
            <w:gridSpan w:val="2"/>
            <w:tcBorders>
              <w:top w:val="double" w:sz="4" w:space="0" w:color="auto"/>
              <w:left w:val="nil"/>
              <w:bottom w:val="single" w:sz="4" w:space="0" w:color="auto"/>
              <w:right w:val="nil"/>
            </w:tcBorders>
            <w:shd w:val="clear" w:color="auto" w:fill="auto"/>
            <w:noWrap/>
            <w:vAlign w:val="bottom"/>
            <w:hideMark/>
          </w:tcPr>
          <w:p w14:paraId="3B81C6B7"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201</w:t>
            </w:r>
            <w:r>
              <w:rPr>
                <w:sz w:val="20"/>
                <w:vertAlign w:val="subscript"/>
              </w:rPr>
              <w:t>6</w:t>
            </w:r>
          </w:p>
        </w:tc>
        <w:tc>
          <w:tcPr>
            <w:tcW w:w="702" w:type="pct"/>
            <w:tcBorders>
              <w:top w:val="double" w:sz="4" w:space="0" w:color="auto"/>
              <w:left w:val="nil"/>
              <w:bottom w:val="single" w:sz="4" w:space="0" w:color="auto"/>
              <w:right w:val="nil"/>
            </w:tcBorders>
            <w:shd w:val="clear" w:color="auto" w:fill="auto"/>
            <w:noWrap/>
            <w:vAlign w:val="bottom"/>
            <w:hideMark/>
          </w:tcPr>
          <w:p w14:paraId="7CB129D3"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201</w:t>
            </w:r>
            <w:r>
              <w:rPr>
                <w:sz w:val="20"/>
                <w:vertAlign w:val="subscript"/>
              </w:rPr>
              <w:t>6</w:t>
            </w:r>
            <w:r w:rsidRPr="0072709A">
              <w:rPr>
                <w:sz w:val="20"/>
              </w:rPr>
              <w:t xml:space="preserve"> &gt; </w:t>
            </w:r>
            <w:r w:rsidRPr="0072709A">
              <w:rPr>
                <w:i/>
                <w:sz w:val="20"/>
              </w:rPr>
              <w:t>B</w:t>
            </w:r>
            <w:r>
              <w:rPr>
                <w:i/>
                <w:sz w:val="20"/>
                <w:vertAlign w:val="subscript"/>
              </w:rPr>
              <w:t>MSY</w:t>
            </w:r>
            <w:r w:rsidRPr="0072709A">
              <w:rPr>
                <w:sz w:val="20"/>
              </w:rPr>
              <w:t>)</w:t>
            </w:r>
          </w:p>
        </w:tc>
        <w:tc>
          <w:tcPr>
            <w:tcW w:w="403" w:type="pct"/>
            <w:tcBorders>
              <w:top w:val="double" w:sz="4" w:space="0" w:color="auto"/>
              <w:left w:val="nil"/>
              <w:bottom w:val="single" w:sz="4" w:space="0" w:color="auto"/>
              <w:right w:val="nil"/>
            </w:tcBorders>
            <w:shd w:val="clear" w:color="auto" w:fill="auto"/>
            <w:noWrap/>
            <w:vAlign w:val="bottom"/>
            <w:hideMark/>
          </w:tcPr>
          <w:p w14:paraId="339E9191"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202</w:t>
            </w:r>
            <w:r>
              <w:rPr>
                <w:sz w:val="20"/>
                <w:vertAlign w:val="subscript"/>
              </w:rPr>
              <w:t>4</w:t>
            </w:r>
          </w:p>
        </w:tc>
        <w:tc>
          <w:tcPr>
            <w:tcW w:w="719" w:type="pct"/>
            <w:tcBorders>
              <w:top w:val="double" w:sz="4" w:space="0" w:color="auto"/>
              <w:left w:val="nil"/>
              <w:bottom w:val="single" w:sz="4" w:space="0" w:color="auto"/>
              <w:right w:val="nil"/>
            </w:tcBorders>
            <w:shd w:val="clear" w:color="auto" w:fill="auto"/>
            <w:noWrap/>
            <w:vAlign w:val="bottom"/>
            <w:hideMark/>
          </w:tcPr>
          <w:p w14:paraId="654342B6"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202</w:t>
            </w:r>
            <w:r>
              <w:rPr>
                <w:sz w:val="20"/>
                <w:vertAlign w:val="subscript"/>
              </w:rPr>
              <w:t>4</w:t>
            </w:r>
            <w:r w:rsidRPr="0072709A">
              <w:rPr>
                <w:sz w:val="20"/>
              </w:rPr>
              <w:t xml:space="preserve"> &gt; </w:t>
            </w:r>
            <w:r w:rsidRPr="0072709A">
              <w:rPr>
                <w:i/>
                <w:sz w:val="20"/>
              </w:rPr>
              <w:t>B</w:t>
            </w:r>
            <w:r>
              <w:rPr>
                <w:i/>
                <w:sz w:val="20"/>
                <w:vertAlign w:val="subscript"/>
              </w:rPr>
              <w:t>MSY</w:t>
            </w:r>
            <w:r w:rsidRPr="0072709A">
              <w:rPr>
                <w:sz w:val="20"/>
              </w:rPr>
              <w:t>)</w:t>
            </w:r>
          </w:p>
        </w:tc>
        <w:tc>
          <w:tcPr>
            <w:tcW w:w="403" w:type="pct"/>
            <w:tcBorders>
              <w:top w:val="double" w:sz="4" w:space="0" w:color="auto"/>
              <w:left w:val="nil"/>
              <w:bottom w:val="single" w:sz="4" w:space="0" w:color="auto"/>
              <w:right w:val="nil"/>
            </w:tcBorders>
            <w:shd w:val="clear" w:color="auto" w:fill="auto"/>
            <w:noWrap/>
            <w:vAlign w:val="bottom"/>
            <w:hideMark/>
          </w:tcPr>
          <w:p w14:paraId="6063348E"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203</w:t>
            </w:r>
            <w:r>
              <w:rPr>
                <w:sz w:val="20"/>
                <w:vertAlign w:val="subscript"/>
              </w:rPr>
              <w:t>4</w:t>
            </w:r>
          </w:p>
        </w:tc>
        <w:tc>
          <w:tcPr>
            <w:tcW w:w="724" w:type="pct"/>
            <w:tcBorders>
              <w:top w:val="double" w:sz="4" w:space="0" w:color="auto"/>
              <w:left w:val="nil"/>
              <w:bottom w:val="single" w:sz="4" w:space="0" w:color="auto"/>
              <w:right w:val="nil"/>
            </w:tcBorders>
            <w:shd w:val="clear" w:color="auto" w:fill="auto"/>
            <w:noWrap/>
            <w:vAlign w:val="bottom"/>
            <w:hideMark/>
          </w:tcPr>
          <w:p w14:paraId="58E40FC4"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203</w:t>
            </w:r>
            <w:r>
              <w:rPr>
                <w:sz w:val="20"/>
                <w:vertAlign w:val="subscript"/>
              </w:rPr>
              <w:t>4</w:t>
            </w:r>
            <w:r w:rsidRPr="0072709A">
              <w:rPr>
                <w:sz w:val="20"/>
              </w:rPr>
              <w:t xml:space="preserve"> &gt; </w:t>
            </w:r>
            <w:r w:rsidRPr="0072709A">
              <w:rPr>
                <w:i/>
                <w:sz w:val="20"/>
              </w:rPr>
              <w:t>B</w:t>
            </w:r>
            <w:r>
              <w:rPr>
                <w:i/>
                <w:sz w:val="20"/>
                <w:vertAlign w:val="subscript"/>
              </w:rPr>
              <w:t>MSY</w:t>
            </w:r>
            <w:r w:rsidRPr="0072709A">
              <w:rPr>
                <w:sz w:val="20"/>
              </w:rPr>
              <w:t>)</w:t>
            </w:r>
          </w:p>
        </w:tc>
        <w:tc>
          <w:tcPr>
            <w:tcW w:w="490" w:type="pct"/>
            <w:tcBorders>
              <w:top w:val="double" w:sz="4" w:space="0" w:color="auto"/>
              <w:left w:val="nil"/>
              <w:bottom w:val="single" w:sz="4" w:space="0" w:color="auto"/>
              <w:right w:val="nil"/>
            </w:tcBorders>
            <w:shd w:val="clear" w:color="auto" w:fill="auto"/>
            <w:noWrap/>
            <w:vAlign w:val="bottom"/>
            <w:hideMark/>
          </w:tcPr>
          <w:p w14:paraId="403DA66C" w14:textId="77777777" w:rsidR="00E3226F" w:rsidRPr="0072709A" w:rsidRDefault="00E3226F" w:rsidP="00CB5559">
            <w:pPr>
              <w:keepNext/>
              <w:spacing w:after="0"/>
              <w:jc w:val="right"/>
              <w:rPr>
                <w:sz w:val="20"/>
              </w:rPr>
            </w:pPr>
            <w:r w:rsidRPr="0072709A">
              <w:rPr>
                <w:sz w:val="20"/>
              </w:rPr>
              <w:t xml:space="preserve">Catch </w:t>
            </w:r>
            <w:r>
              <w:rPr>
                <w:sz w:val="20"/>
              </w:rPr>
              <w:br/>
              <w:t>2015 (kt)</w:t>
            </w:r>
          </w:p>
        </w:tc>
        <w:tc>
          <w:tcPr>
            <w:tcW w:w="490" w:type="pct"/>
            <w:tcBorders>
              <w:top w:val="double" w:sz="4" w:space="0" w:color="auto"/>
              <w:left w:val="nil"/>
              <w:bottom w:val="single" w:sz="4" w:space="0" w:color="auto"/>
              <w:right w:val="nil"/>
            </w:tcBorders>
            <w:shd w:val="clear" w:color="auto" w:fill="auto"/>
            <w:noWrap/>
            <w:vAlign w:val="bottom"/>
            <w:hideMark/>
          </w:tcPr>
          <w:p w14:paraId="18265D5F" w14:textId="77777777" w:rsidR="00E3226F" w:rsidRPr="0072709A" w:rsidRDefault="00E3226F" w:rsidP="00CB5559">
            <w:pPr>
              <w:keepNext/>
              <w:spacing w:after="0"/>
              <w:jc w:val="right"/>
              <w:rPr>
                <w:sz w:val="20"/>
              </w:rPr>
            </w:pPr>
            <w:r w:rsidRPr="0072709A">
              <w:rPr>
                <w:sz w:val="20"/>
              </w:rPr>
              <w:t xml:space="preserve">Catch </w:t>
            </w:r>
            <w:r>
              <w:rPr>
                <w:sz w:val="20"/>
              </w:rPr>
              <w:br/>
            </w:r>
            <w:r w:rsidRPr="0072709A">
              <w:rPr>
                <w:sz w:val="20"/>
              </w:rPr>
              <w:t>201</w:t>
            </w:r>
            <w:r>
              <w:rPr>
                <w:sz w:val="20"/>
              </w:rPr>
              <w:t>6 (kt)</w:t>
            </w:r>
          </w:p>
        </w:tc>
      </w:tr>
      <w:tr w:rsidR="00E3226F" w:rsidRPr="0072709A" w14:paraId="30EB96FE" w14:textId="77777777" w:rsidTr="00CB5559">
        <w:trPr>
          <w:cantSplit/>
        </w:trPr>
        <w:tc>
          <w:tcPr>
            <w:tcW w:w="662" w:type="pct"/>
            <w:tcBorders>
              <w:top w:val="single" w:sz="4" w:space="0" w:color="auto"/>
              <w:left w:val="nil"/>
              <w:bottom w:val="nil"/>
              <w:right w:val="nil"/>
            </w:tcBorders>
            <w:shd w:val="clear" w:color="auto" w:fill="auto"/>
            <w:noWrap/>
            <w:vAlign w:val="bottom"/>
            <w:hideMark/>
          </w:tcPr>
          <w:p w14:paraId="1F7FB09C" w14:textId="77777777" w:rsidR="00E3226F" w:rsidRPr="006E5612" w:rsidRDefault="00E3226F" w:rsidP="00CB5559">
            <w:pPr>
              <w:keepNext/>
              <w:spacing w:after="0"/>
              <w:jc w:val="center"/>
            </w:pPr>
            <w:r w:rsidRPr="006E5612">
              <w:t>0.00</w:t>
            </w:r>
          </w:p>
        </w:tc>
        <w:tc>
          <w:tcPr>
            <w:tcW w:w="406" w:type="pct"/>
            <w:gridSpan w:val="2"/>
            <w:tcBorders>
              <w:top w:val="single" w:sz="4" w:space="0" w:color="auto"/>
              <w:left w:val="nil"/>
              <w:bottom w:val="nil"/>
              <w:right w:val="nil"/>
            </w:tcBorders>
            <w:shd w:val="clear" w:color="auto" w:fill="auto"/>
            <w:noWrap/>
            <w:vAlign w:val="center"/>
            <w:hideMark/>
          </w:tcPr>
          <w:p w14:paraId="00A71802" w14:textId="77777777" w:rsidR="00E3226F" w:rsidRPr="006E5612" w:rsidRDefault="00E3226F" w:rsidP="00CB5559">
            <w:pPr>
              <w:keepNext/>
              <w:spacing w:after="0"/>
              <w:jc w:val="right"/>
            </w:pPr>
            <w:r w:rsidRPr="006E5612">
              <w:t>4,569</w:t>
            </w:r>
          </w:p>
        </w:tc>
        <w:tc>
          <w:tcPr>
            <w:tcW w:w="702" w:type="pct"/>
            <w:tcBorders>
              <w:top w:val="single" w:sz="4" w:space="0" w:color="auto"/>
              <w:left w:val="nil"/>
              <w:bottom w:val="nil"/>
              <w:right w:val="nil"/>
            </w:tcBorders>
            <w:shd w:val="clear" w:color="auto" w:fill="auto"/>
            <w:noWrap/>
            <w:vAlign w:val="bottom"/>
            <w:hideMark/>
          </w:tcPr>
          <w:p w14:paraId="2550B535" w14:textId="77777777" w:rsidR="00E3226F" w:rsidRPr="006E5612" w:rsidRDefault="00E3226F" w:rsidP="00CB5559">
            <w:pPr>
              <w:keepNext/>
              <w:spacing w:after="0"/>
              <w:jc w:val="right"/>
            </w:pPr>
            <w:r w:rsidRPr="006E5612">
              <w:t>4%</w:t>
            </w:r>
          </w:p>
        </w:tc>
        <w:tc>
          <w:tcPr>
            <w:tcW w:w="403" w:type="pct"/>
            <w:tcBorders>
              <w:top w:val="single" w:sz="4" w:space="0" w:color="auto"/>
              <w:left w:val="nil"/>
              <w:bottom w:val="nil"/>
              <w:right w:val="nil"/>
            </w:tcBorders>
            <w:shd w:val="clear" w:color="auto" w:fill="auto"/>
            <w:noWrap/>
            <w:vAlign w:val="center"/>
            <w:hideMark/>
          </w:tcPr>
          <w:p w14:paraId="244479BD" w14:textId="77777777" w:rsidR="00E3226F" w:rsidRPr="006E5612" w:rsidRDefault="00E3226F" w:rsidP="00CB5559">
            <w:pPr>
              <w:keepNext/>
              <w:spacing w:after="0"/>
              <w:jc w:val="right"/>
            </w:pPr>
            <w:r w:rsidRPr="006E5612">
              <w:t>12,874</w:t>
            </w:r>
          </w:p>
        </w:tc>
        <w:tc>
          <w:tcPr>
            <w:tcW w:w="719" w:type="pct"/>
            <w:tcBorders>
              <w:top w:val="single" w:sz="4" w:space="0" w:color="auto"/>
              <w:left w:val="nil"/>
              <w:bottom w:val="nil"/>
              <w:right w:val="nil"/>
            </w:tcBorders>
            <w:shd w:val="clear" w:color="auto" w:fill="auto"/>
            <w:noWrap/>
            <w:vAlign w:val="bottom"/>
            <w:hideMark/>
          </w:tcPr>
          <w:p w14:paraId="71FF1193" w14:textId="77777777" w:rsidR="00E3226F" w:rsidRPr="006E5612" w:rsidRDefault="00E3226F" w:rsidP="00CB5559">
            <w:pPr>
              <w:keepNext/>
              <w:spacing w:after="0"/>
              <w:jc w:val="right"/>
            </w:pPr>
            <w:r w:rsidRPr="006E5612">
              <w:t>100%</w:t>
            </w:r>
          </w:p>
        </w:tc>
        <w:tc>
          <w:tcPr>
            <w:tcW w:w="403" w:type="pct"/>
            <w:tcBorders>
              <w:top w:val="single" w:sz="4" w:space="0" w:color="auto"/>
              <w:left w:val="nil"/>
              <w:bottom w:val="nil"/>
              <w:right w:val="nil"/>
            </w:tcBorders>
            <w:shd w:val="clear" w:color="auto" w:fill="auto"/>
            <w:noWrap/>
            <w:vAlign w:val="center"/>
            <w:hideMark/>
          </w:tcPr>
          <w:p w14:paraId="615228A7" w14:textId="77777777" w:rsidR="00E3226F" w:rsidRPr="006E5612" w:rsidRDefault="00E3226F" w:rsidP="00CB5559">
            <w:pPr>
              <w:keepNext/>
              <w:spacing w:after="0"/>
              <w:jc w:val="right"/>
            </w:pPr>
            <w:r w:rsidRPr="006E5612">
              <w:t>18,456</w:t>
            </w:r>
          </w:p>
        </w:tc>
        <w:tc>
          <w:tcPr>
            <w:tcW w:w="724" w:type="pct"/>
            <w:tcBorders>
              <w:top w:val="single" w:sz="4" w:space="0" w:color="auto"/>
              <w:left w:val="nil"/>
              <w:bottom w:val="nil"/>
              <w:right w:val="nil"/>
            </w:tcBorders>
            <w:shd w:val="clear" w:color="auto" w:fill="auto"/>
            <w:noWrap/>
            <w:vAlign w:val="bottom"/>
            <w:hideMark/>
          </w:tcPr>
          <w:p w14:paraId="27EE74A6" w14:textId="77777777" w:rsidR="00E3226F" w:rsidRPr="006E5612" w:rsidRDefault="00E3226F" w:rsidP="00CB5559">
            <w:pPr>
              <w:keepNext/>
              <w:spacing w:after="0"/>
              <w:jc w:val="right"/>
            </w:pPr>
            <w:r w:rsidRPr="006E5612">
              <w:t>100%</w:t>
            </w:r>
          </w:p>
        </w:tc>
        <w:tc>
          <w:tcPr>
            <w:tcW w:w="490" w:type="pct"/>
            <w:tcBorders>
              <w:top w:val="single" w:sz="4" w:space="0" w:color="auto"/>
              <w:left w:val="nil"/>
              <w:bottom w:val="nil"/>
              <w:right w:val="nil"/>
            </w:tcBorders>
            <w:shd w:val="clear" w:color="auto" w:fill="auto"/>
            <w:noWrap/>
            <w:vAlign w:val="bottom"/>
            <w:hideMark/>
          </w:tcPr>
          <w:p w14:paraId="01FDBFF4" w14:textId="77777777" w:rsidR="00E3226F" w:rsidRPr="006E5612" w:rsidRDefault="00E3226F" w:rsidP="00CB5559">
            <w:pPr>
              <w:keepNext/>
              <w:spacing w:after="0"/>
              <w:jc w:val="right"/>
            </w:pPr>
            <w:r w:rsidRPr="006E5612">
              <w:t>0</w:t>
            </w:r>
          </w:p>
        </w:tc>
        <w:tc>
          <w:tcPr>
            <w:tcW w:w="490" w:type="pct"/>
            <w:tcBorders>
              <w:top w:val="single" w:sz="4" w:space="0" w:color="auto"/>
              <w:left w:val="nil"/>
              <w:bottom w:val="nil"/>
              <w:right w:val="nil"/>
            </w:tcBorders>
            <w:shd w:val="clear" w:color="auto" w:fill="auto"/>
            <w:noWrap/>
            <w:vAlign w:val="bottom"/>
            <w:hideMark/>
          </w:tcPr>
          <w:p w14:paraId="7EB9973A" w14:textId="77777777" w:rsidR="00E3226F" w:rsidRPr="006E5612" w:rsidRDefault="00E3226F" w:rsidP="00CB5559">
            <w:pPr>
              <w:keepNext/>
              <w:spacing w:after="0"/>
              <w:jc w:val="right"/>
            </w:pPr>
            <w:r w:rsidRPr="006E5612">
              <w:t>0</w:t>
            </w:r>
          </w:p>
        </w:tc>
      </w:tr>
      <w:tr w:rsidR="00E3226F" w:rsidRPr="0072709A" w14:paraId="6116FFDA" w14:textId="77777777" w:rsidTr="00CB5559">
        <w:trPr>
          <w:cantSplit/>
        </w:trPr>
        <w:tc>
          <w:tcPr>
            <w:tcW w:w="662" w:type="pct"/>
            <w:tcBorders>
              <w:top w:val="nil"/>
              <w:left w:val="nil"/>
              <w:bottom w:val="nil"/>
              <w:right w:val="nil"/>
            </w:tcBorders>
            <w:shd w:val="clear" w:color="auto" w:fill="auto"/>
            <w:noWrap/>
            <w:vAlign w:val="bottom"/>
          </w:tcPr>
          <w:p w14:paraId="590C4FAF" w14:textId="77777777" w:rsidR="00E3226F" w:rsidRPr="006E5612" w:rsidRDefault="00E3226F" w:rsidP="00CB5559">
            <w:pPr>
              <w:keepNext/>
              <w:spacing w:after="0"/>
              <w:jc w:val="center"/>
            </w:pPr>
            <w:r w:rsidRPr="006E5612">
              <w:t>0.50</w:t>
            </w:r>
          </w:p>
        </w:tc>
        <w:tc>
          <w:tcPr>
            <w:tcW w:w="406" w:type="pct"/>
            <w:gridSpan w:val="2"/>
            <w:tcBorders>
              <w:top w:val="nil"/>
              <w:left w:val="nil"/>
              <w:bottom w:val="nil"/>
              <w:right w:val="nil"/>
            </w:tcBorders>
            <w:shd w:val="clear" w:color="auto" w:fill="auto"/>
            <w:noWrap/>
            <w:vAlign w:val="center"/>
          </w:tcPr>
          <w:p w14:paraId="4859DC5E" w14:textId="77777777" w:rsidR="00E3226F" w:rsidRPr="006E5612" w:rsidRDefault="00E3226F" w:rsidP="00CB5559">
            <w:pPr>
              <w:keepNext/>
              <w:spacing w:after="0"/>
              <w:jc w:val="right"/>
            </w:pPr>
            <w:r w:rsidRPr="006E5612">
              <w:t>4,241</w:t>
            </w:r>
          </w:p>
        </w:tc>
        <w:tc>
          <w:tcPr>
            <w:tcW w:w="702" w:type="pct"/>
            <w:tcBorders>
              <w:top w:val="nil"/>
              <w:left w:val="nil"/>
              <w:bottom w:val="nil"/>
              <w:right w:val="nil"/>
            </w:tcBorders>
            <w:shd w:val="clear" w:color="auto" w:fill="auto"/>
            <w:noWrap/>
            <w:vAlign w:val="bottom"/>
          </w:tcPr>
          <w:p w14:paraId="3A67DC4A" w14:textId="77777777" w:rsidR="00E3226F" w:rsidRPr="006E5612" w:rsidRDefault="00E3226F" w:rsidP="00CB5559">
            <w:pPr>
              <w:keepNext/>
              <w:spacing w:after="0"/>
              <w:jc w:val="right"/>
            </w:pPr>
            <w:r w:rsidRPr="006E5612">
              <w:t>1%</w:t>
            </w:r>
          </w:p>
        </w:tc>
        <w:tc>
          <w:tcPr>
            <w:tcW w:w="403" w:type="pct"/>
            <w:tcBorders>
              <w:top w:val="nil"/>
              <w:left w:val="nil"/>
              <w:bottom w:val="nil"/>
              <w:right w:val="nil"/>
            </w:tcBorders>
            <w:shd w:val="clear" w:color="auto" w:fill="auto"/>
            <w:noWrap/>
            <w:vAlign w:val="center"/>
          </w:tcPr>
          <w:p w14:paraId="3D7ACA11" w14:textId="77777777" w:rsidR="00E3226F" w:rsidRPr="006E5612" w:rsidRDefault="00E3226F" w:rsidP="00CB5559">
            <w:pPr>
              <w:keepNext/>
              <w:spacing w:after="0"/>
              <w:jc w:val="right"/>
            </w:pPr>
            <w:r w:rsidRPr="006E5612">
              <w:t>9,428</w:t>
            </w:r>
          </w:p>
        </w:tc>
        <w:tc>
          <w:tcPr>
            <w:tcW w:w="719" w:type="pct"/>
            <w:tcBorders>
              <w:top w:val="nil"/>
              <w:left w:val="nil"/>
              <w:bottom w:val="nil"/>
              <w:right w:val="nil"/>
            </w:tcBorders>
            <w:shd w:val="clear" w:color="auto" w:fill="auto"/>
            <w:noWrap/>
            <w:vAlign w:val="bottom"/>
          </w:tcPr>
          <w:p w14:paraId="2AA6B715" w14:textId="77777777" w:rsidR="00E3226F" w:rsidRPr="006E5612" w:rsidRDefault="00E3226F" w:rsidP="00CB5559">
            <w:pPr>
              <w:keepNext/>
              <w:spacing w:after="0"/>
              <w:jc w:val="right"/>
            </w:pPr>
            <w:r w:rsidRPr="006E5612">
              <w:t>98%</w:t>
            </w:r>
          </w:p>
        </w:tc>
        <w:tc>
          <w:tcPr>
            <w:tcW w:w="403" w:type="pct"/>
            <w:tcBorders>
              <w:top w:val="nil"/>
              <w:left w:val="nil"/>
              <w:bottom w:val="nil"/>
              <w:right w:val="nil"/>
            </w:tcBorders>
            <w:shd w:val="clear" w:color="auto" w:fill="auto"/>
            <w:noWrap/>
            <w:vAlign w:val="center"/>
          </w:tcPr>
          <w:p w14:paraId="58CA705A" w14:textId="77777777" w:rsidR="00E3226F" w:rsidRPr="006E5612" w:rsidRDefault="00E3226F" w:rsidP="00CB5559">
            <w:pPr>
              <w:keepNext/>
              <w:spacing w:after="0"/>
              <w:jc w:val="right"/>
            </w:pPr>
            <w:r w:rsidRPr="006E5612">
              <w:t>11,749</w:t>
            </w:r>
          </w:p>
        </w:tc>
        <w:tc>
          <w:tcPr>
            <w:tcW w:w="724" w:type="pct"/>
            <w:tcBorders>
              <w:top w:val="nil"/>
              <w:left w:val="nil"/>
              <w:bottom w:val="nil"/>
              <w:right w:val="nil"/>
            </w:tcBorders>
            <w:shd w:val="clear" w:color="auto" w:fill="auto"/>
            <w:noWrap/>
            <w:vAlign w:val="bottom"/>
          </w:tcPr>
          <w:p w14:paraId="694510B9" w14:textId="77777777" w:rsidR="00E3226F" w:rsidRPr="006E5612" w:rsidRDefault="00E3226F" w:rsidP="00CB5559">
            <w:pPr>
              <w:keepNext/>
              <w:spacing w:after="0"/>
              <w:jc w:val="right"/>
            </w:pPr>
            <w:r w:rsidRPr="006E5612">
              <w:t>98%</w:t>
            </w:r>
          </w:p>
        </w:tc>
        <w:tc>
          <w:tcPr>
            <w:tcW w:w="490" w:type="pct"/>
            <w:tcBorders>
              <w:top w:val="nil"/>
              <w:left w:val="nil"/>
              <w:bottom w:val="nil"/>
              <w:right w:val="nil"/>
            </w:tcBorders>
            <w:shd w:val="clear" w:color="auto" w:fill="auto"/>
            <w:noWrap/>
            <w:vAlign w:val="bottom"/>
          </w:tcPr>
          <w:p w14:paraId="199F75DB" w14:textId="77777777" w:rsidR="00E3226F" w:rsidRPr="006E5612" w:rsidRDefault="00E3226F" w:rsidP="00CB5559">
            <w:pPr>
              <w:keepNext/>
              <w:spacing w:after="0"/>
              <w:jc w:val="right"/>
            </w:pPr>
            <w:r w:rsidRPr="006E5612">
              <w:t>240</w:t>
            </w:r>
          </w:p>
        </w:tc>
        <w:tc>
          <w:tcPr>
            <w:tcW w:w="490" w:type="pct"/>
            <w:tcBorders>
              <w:top w:val="nil"/>
              <w:left w:val="nil"/>
              <w:bottom w:val="nil"/>
              <w:right w:val="nil"/>
            </w:tcBorders>
            <w:shd w:val="clear" w:color="auto" w:fill="auto"/>
            <w:noWrap/>
            <w:vAlign w:val="bottom"/>
          </w:tcPr>
          <w:p w14:paraId="15791493" w14:textId="77777777" w:rsidR="00E3226F" w:rsidRPr="006E5612" w:rsidRDefault="00E3226F" w:rsidP="00CB5559">
            <w:pPr>
              <w:keepNext/>
              <w:spacing w:after="0"/>
              <w:jc w:val="right"/>
            </w:pPr>
            <w:r w:rsidRPr="006E5612">
              <w:t>300</w:t>
            </w:r>
          </w:p>
        </w:tc>
      </w:tr>
      <w:tr w:rsidR="00E3226F" w:rsidRPr="0072709A" w14:paraId="2D34ED47" w14:textId="77777777" w:rsidTr="00CB5559">
        <w:trPr>
          <w:cantSplit/>
        </w:trPr>
        <w:tc>
          <w:tcPr>
            <w:tcW w:w="662" w:type="pct"/>
            <w:tcBorders>
              <w:top w:val="nil"/>
              <w:left w:val="nil"/>
              <w:bottom w:val="nil"/>
              <w:right w:val="nil"/>
            </w:tcBorders>
            <w:shd w:val="clear" w:color="auto" w:fill="auto"/>
            <w:noWrap/>
            <w:vAlign w:val="bottom"/>
            <w:hideMark/>
          </w:tcPr>
          <w:p w14:paraId="4A622DBB" w14:textId="77777777" w:rsidR="00E3226F" w:rsidRPr="006E5612" w:rsidRDefault="00E3226F" w:rsidP="00CB5559">
            <w:pPr>
              <w:keepNext/>
              <w:spacing w:after="0"/>
              <w:jc w:val="center"/>
            </w:pPr>
            <w:r w:rsidRPr="006E5612">
              <w:t>0.75</w:t>
            </w:r>
          </w:p>
        </w:tc>
        <w:tc>
          <w:tcPr>
            <w:tcW w:w="406" w:type="pct"/>
            <w:gridSpan w:val="2"/>
            <w:tcBorders>
              <w:top w:val="nil"/>
              <w:left w:val="nil"/>
              <w:bottom w:val="nil"/>
              <w:right w:val="nil"/>
            </w:tcBorders>
            <w:shd w:val="clear" w:color="auto" w:fill="auto"/>
            <w:noWrap/>
            <w:vAlign w:val="center"/>
            <w:hideMark/>
          </w:tcPr>
          <w:p w14:paraId="3381291D" w14:textId="77777777" w:rsidR="00E3226F" w:rsidRPr="006E5612" w:rsidRDefault="00E3226F" w:rsidP="00CB5559">
            <w:pPr>
              <w:keepNext/>
              <w:spacing w:after="0"/>
              <w:jc w:val="right"/>
            </w:pPr>
            <w:r w:rsidRPr="006E5612">
              <w:t>4,091</w:t>
            </w:r>
          </w:p>
        </w:tc>
        <w:tc>
          <w:tcPr>
            <w:tcW w:w="702" w:type="pct"/>
            <w:tcBorders>
              <w:top w:val="nil"/>
              <w:left w:val="nil"/>
              <w:bottom w:val="nil"/>
              <w:right w:val="nil"/>
            </w:tcBorders>
            <w:shd w:val="clear" w:color="auto" w:fill="auto"/>
            <w:noWrap/>
            <w:vAlign w:val="bottom"/>
            <w:hideMark/>
          </w:tcPr>
          <w:p w14:paraId="7D1310A1" w14:textId="77777777" w:rsidR="00E3226F" w:rsidRPr="006E5612" w:rsidRDefault="00E3226F" w:rsidP="00CB5559">
            <w:pPr>
              <w:keepNext/>
              <w:spacing w:after="0"/>
              <w:jc w:val="right"/>
            </w:pPr>
            <w:r w:rsidRPr="006E5612">
              <w:t>0%</w:t>
            </w:r>
          </w:p>
        </w:tc>
        <w:tc>
          <w:tcPr>
            <w:tcW w:w="403" w:type="pct"/>
            <w:tcBorders>
              <w:top w:val="nil"/>
              <w:left w:val="nil"/>
              <w:bottom w:val="nil"/>
              <w:right w:val="nil"/>
            </w:tcBorders>
            <w:shd w:val="clear" w:color="auto" w:fill="auto"/>
            <w:noWrap/>
            <w:vAlign w:val="center"/>
            <w:hideMark/>
          </w:tcPr>
          <w:p w14:paraId="5F71DB2F" w14:textId="77777777" w:rsidR="00E3226F" w:rsidRPr="006E5612" w:rsidRDefault="00E3226F" w:rsidP="00CB5559">
            <w:pPr>
              <w:keepNext/>
              <w:spacing w:after="0"/>
              <w:jc w:val="right"/>
            </w:pPr>
            <w:r w:rsidRPr="006E5612">
              <w:t>8,248</w:t>
            </w:r>
          </w:p>
        </w:tc>
        <w:tc>
          <w:tcPr>
            <w:tcW w:w="719" w:type="pct"/>
            <w:tcBorders>
              <w:top w:val="nil"/>
              <w:left w:val="nil"/>
              <w:bottom w:val="nil"/>
              <w:right w:val="nil"/>
            </w:tcBorders>
            <w:shd w:val="clear" w:color="auto" w:fill="auto"/>
            <w:noWrap/>
            <w:vAlign w:val="bottom"/>
            <w:hideMark/>
          </w:tcPr>
          <w:p w14:paraId="2DF28D17" w14:textId="77777777" w:rsidR="00E3226F" w:rsidRPr="006E5612" w:rsidRDefault="00E3226F" w:rsidP="00CB5559">
            <w:pPr>
              <w:keepNext/>
              <w:spacing w:after="0"/>
              <w:jc w:val="right"/>
            </w:pPr>
            <w:r w:rsidRPr="006E5612">
              <w:t>94%</w:t>
            </w:r>
          </w:p>
        </w:tc>
        <w:tc>
          <w:tcPr>
            <w:tcW w:w="403" w:type="pct"/>
            <w:tcBorders>
              <w:top w:val="nil"/>
              <w:left w:val="nil"/>
              <w:bottom w:val="nil"/>
              <w:right w:val="nil"/>
            </w:tcBorders>
            <w:shd w:val="clear" w:color="auto" w:fill="auto"/>
            <w:noWrap/>
            <w:vAlign w:val="center"/>
            <w:hideMark/>
          </w:tcPr>
          <w:p w14:paraId="4D1B7E3A" w14:textId="77777777" w:rsidR="00E3226F" w:rsidRPr="006E5612" w:rsidRDefault="00E3226F" w:rsidP="00CB5559">
            <w:pPr>
              <w:keepNext/>
              <w:spacing w:after="0"/>
              <w:jc w:val="right"/>
            </w:pPr>
            <w:r w:rsidRPr="006E5612">
              <w:t>9,843</w:t>
            </w:r>
          </w:p>
        </w:tc>
        <w:tc>
          <w:tcPr>
            <w:tcW w:w="724" w:type="pct"/>
            <w:tcBorders>
              <w:top w:val="nil"/>
              <w:left w:val="nil"/>
              <w:bottom w:val="nil"/>
              <w:right w:val="nil"/>
            </w:tcBorders>
            <w:shd w:val="clear" w:color="auto" w:fill="auto"/>
            <w:noWrap/>
            <w:vAlign w:val="bottom"/>
            <w:hideMark/>
          </w:tcPr>
          <w:p w14:paraId="32C64CDD" w14:textId="77777777" w:rsidR="00E3226F" w:rsidRPr="006E5612" w:rsidRDefault="00E3226F" w:rsidP="00CB5559">
            <w:pPr>
              <w:keepNext/>
              <w:spacing w:after="0"/>
              <w:jc w:val="right"/>
            </w:pPr>
            <w:r w:rsidRPr="006E5612">
              <w:t>94%</w:t>
            </w:r>
          </w:p>
        </w:tc>
        <w:tc>
          <w:tcPr>
            <w:tcW w:w="490" w:type="pct"/>
            <w:tcBorders>
              <w:top w:val="nil"/>
              <w:left w:val="nil"/>
              <w:bottom w:val="nil"/>
              <w:right w:val="nil"/>
            </w:tcBorders>
            <w:shd w:val="clear" w:color="auto" w:fill="auto"/>
            <w:noWrap/>
            <w:vAlign w:val="bottom"/>
            <w:hideMark/>
          </w:tcPr>
          <w:p w14:paraId="7C7F934C" w14:textId="77777777" w:rsidR="00E3226F" w:rsidRPr="006E5612" w:rsidRDefault="00E3226F" w:rsidP="00CB5559">
            <w:pPr>
              <w:keepNext/>
              <w:spacing w:after="0"/>
              <w:jc w:val="right"/>
            </w:pPr>
            <w:r w:rsidRPr="006E5612">
              <w:t>350</w:t>
            </w:r>
          </w:p>
        </w:tc>
        <w:tc>
          <w:tcPr>
            <w:tcW w:w="490" w:type="pct"/>
            <w:tcBorders>
              <w:top w:val="nil"/>
              <w:left w:val="nil"/>
              <w:bottom w:val="nil"/>
              <w:right w:val="nil"/>
            </w:tcBorders>
            <w:shd w:val="clear" w:color="auto" w:fill="auto"/>
            <w:noWrap/>
            <w:vAlign w:val="bottom"/>
            <w:hideMark/>
          </w:tcPr>
          <w:p w14:paraId="4542C2B8" w14:textId="77777777" w:rsidR="00E3226F" w:rsidRPr="006E5612" w:rsidRDefault="00E3226F" w:rsidP="00CB5559">
            <w:pPr>
              <w:keepNext/>
              <w:spacing w:after="0"/>
              <w:jc w:val="right"/>
            </w:pPr>
            <w:r w:rsidRPr="006E5612">
              <w:t>430</w:t>
            </w:r>
          </w:p>
        </w:tc>
      </w:tr>
      <w:tr w:rsidR="00E3226F" w:rsidRPr="0072709A" w14:paraId="28DC9E28" w14:textId="77777777" w:rsidTr="00CB5559">
        <w:trPr>
          <w:cantSplit/>
        </w:trPr>
        <w:tc>
          <w:tcPr>
            <w:tcW w:w="662" w:type="pct"/>
            <w:tcBorders>
              <w:top w:val="nil"/>
              <w:left w:val="nil"/>
              <w:right w:val="nil"/>
            </w:tcBorders>
            <w:shd w:val="clear" w:color="auto" w:fill="auto"/>
            <w:noWrap/>
            <w:vAlign w:val="bottom"/>
            <w:hideMark/>
          </w:tcPr>
          <w:p w14:paraId="627F8DDD" w14:textId="77777777" w:rsidR="00E3226F" w:rsidRPr="006E5612" w:rsidRDefault="00E3226F" w:rsidP="00CB5559">
            <w:pPr>
              <w:keepNext/>
              <w:spacing w:after="0"/>
              <w:jc w:val="center"/>
            </w:pPr>
            <w:r w:rsidRPr="006E5612">
              <w:t>1.00</w:t>
            </w:r>
          </w:p>
        </w:tc>
        <w:tc>
          <w:tcPr>
            <w:tcW w:w="406" w:type="pct"/>
            <w:gridSpan w:val="2"/>
            <w:tcBorders>
              <w:top w:val="nil"/>
              <w:left w:val="nil"/>
              <w:right w:val="nil"/>
            </w:tcBorders>
            <w:shd w:val="clear" w:color="auto" w:fill="auto"/>
            <w:noWrap/>
            <w:vAlign w:val="center"/>
            <w:hideMark/>
          </w:tcPr>
          <w:p w14:paraId="527245A7" w14:textId="77777777" w:rsidR="00E3226F" w:rsidRPr="006E5612" w:rsidRDefault="00E3226F" w:rsidP="00CB5559">
            <w:pPr>
              <w:keepNext/>
              <w:spacing w:after="0"/>
              <w:jc w:val="right"/>
            </w:pPr>
            <w:r w:rsidRPr="006E5612">
              <w:t>3,948</w:t>
            </w:r>
          </w:p>
        </w:tc>
        <w:tc>
          <w:tcPr>
            <w:tcW w:w="702" w:type="pct"/>
            <w:tcBorders>
              <w:top w:val="nil"/>
              <w:left w:val="nil"/>
              <w:right w:val="nil"/>
            </w:tcBorders>
            <w:shd w:val="clear" w:color="auto" w:fill="auto"/>
            <w:noWrap/>
            <w:vAlign w:val="bottom"/>
            <w:hideMark/>
          </w:tcPr>
          <w:p w14:paraId="04E706DE" w14:textId="77777777" w:rsidR="00E3226F" w:rsidRPr="006E5612" w:rsidRDefault="00E3226F" w:rsidP="00CB5559">
            <w:pPr>
              <w:keepNext/>
              <w:spacing w:after="0"/>
              <w:jc w:val="right"/>
            </w:pPr>
            <w:r w:rsidRPr="006E5612">
              <w:t>0%</w:t>
            </w:r>
          </w:p>
        </w:tc>
        <w:tc>
          <w:tcPr>
            <w:tcW w:w="403" w:type="pct"/>
            <w:tcBorders>
              <w:top w:val="nil"/>
              <w:left w:val="nil"/>
              <w:right w:val="nil"/>
            </w:tcBorders>
            <w:shd w:val="clear" w:color="auto" w:fill="auto"/>
            <w:noWrap/>
            <w:vAlign w:val="center"/>
            <w:hideMark/>
          </w:tcPr>
          <w:p w14:paraId="2DFF150B" w14:textId="77777777" w:rsidR="00E3226F" w:rsidRPr="006E5612" w:rsidRDefault="00E3226F" w:rsidP="00CB5559">
            <w:pPr>
              <w:keepNext/>
              <w:spacing w:after="0"/>
              <w:jc w:val="right"/>
            </w:pPr>
            <w:r w:rsidRPr="006E5612">
              <w:t>7,300</w:t>
            </w:r>
          </w:p>
        </w:tc>
        <w:tc>
          <w:tcPr>
            <w:tcW w:w="719" w:type="pct"/>
            <w:tcBorders>
              <w:top w:val="nil"/>
              <w:left w:val="nil"/>
              <w:right w:val="nil"/>
            </w:tcBorders>
            <w:shd w:val="clear" w:color="auto" w:fill="auto"/>
            <w:noWrap/>
            <w:vAlign w:val="bottom"/>
            <w:hideMark/>
          </w:tcPr>
          <w:p w14:paraId="2DD708C9" w14:textId="77777777" w:rsidR="00E3226F" w:rsidRPr="006E5612" w:rsidRDefault="00E3226F" w:rsidP="00CB5559">
            <w:pPr>
              <w:keepNext/>
              <w:spacing w:after="0"/>
              <w:jc w:val="right"/>
            </w:pPr>
            <w:r w:rsidRPr="006E5612">
              <w:t>86%</w:t>
            </w:r>
          </w:p>
        </w:tc>
        <w:tc>
          <w:tcPr>
            <w:tcW w:w="403" w:type="pct"/>
            <w:tcBorders>
              <w:top w:val="nil"/>
              <w:left w:val="nil"/>
              <w:right w:val="nil"/>
            </w:tcBorders>
            <w:shd w:val="clear" w:color="auto" w:fill="auto"/>
            <w:noWrap/>
            <w:vAlign w:val="center"/>
            <w:hideMark/>
          </w:tcPr>
          <w:p w14:paraId="2D78CCEE" w14:textId="77777777" w:rsidR="00E3226F" w:rsidRPr="006E5612" w:rsidRDefault="00E3226F" w:rsidP="00CB5559">
            <w:pPr>
              <w:keepNext/>
              <w:spacing w:after="0"/>
              <w:jc w:val="right"/>
            </w:pPr>
            <w:r w:rsidRPr="006E5612">
              <w:t>8,432</w:t>
            </w:r>
          </w:p>
        </w:tc>
        <w:tc>
          <w:tcPr>
            <w:tcW w:w="724" w:type="pct"/>
            <w:tcBorders>
              <w:top w:val="nil"/>
              <w:left w:val="nil"/>
              <w:right w:val="nil"/>
            </w:tcBorders>
            <w:shd w:val="clear" w:color="auto" w:fill="auto"/>
            <w:noWrap/>
            <w:vAlign w:val="bottom"/>
            <w:hideMark/>
          </w:tcPr>
          <w:p w14:paraId="0E5A8BFF" w14:textId="77777777" w:rsidR="00E3226F" w:rsidRPr="006E5612" w:rsidRDefault="00E3226F" w:rsidP="00CB5559">
            <w:pPr>
              <w:keepNext/>
              <w:spacing w:after="0"/>
              <w:jc w:val="right"/>
            </w:pPr>
            <w:r w:rsidRPr="006E5612">
              <w:t>86%</w:t>
            </w:r>
          </w:p>
        </w:tc>
        <w:tc>
          <w:tcPr>
            <w:tcW w:w="490" w:type="pct"/>
            <w:tcBorders>
              <w:top w:val="nil"/>
              <w:left w:val="nil"/>
              <w:right w:val="nil"/>
            </w:tcBorders>
            <w:shd w:val="clear" w:color="auto" w:fill="auto"/>
            <w:noWrap/>
            <w:vAlign w:val="bottom"/>
            <w:hideMark/>
          </w:tcPr>
          <w:p w14:paraId="42B97EB1" w14:textId="77777777" w:rsidR="00E3226F" w:rsidRPr="006E5612" w:rsidRDefault="00E3226F" w:rsidP="00CB5559">
            <w:pPr>
              <w:keepNext/>
              <w:spacing w:after="0"/>
              <w:jc w:val="right"/>
            </w:pPr>
            <w:r w:rsidRPr="006E5612">
              <w:t>460</w:t>
            </w:r>
          </w:p>
        </w:tc>
        <w:tc>
          <w:tcPr>
            <w:tcW w:w="490" w:type="pct"/>
            <w:tcBorders>
              <w:top w:val="nil"/>
              <w:left w:val="nil"/>
              <w:right w:val="nil"/>
            </w:tcBorders>
            <w:shd w:val="clear" w:color="auto" w:fill="auto"/>
            <w:noWrap/>
            <w:vAlign w:val="bottom"/>
            <w:hideMark/>
          </w:tcPr>
          <w:p w14:paraId="613E29F6" w14:textId="77777777" w:rsidR="00E3226F" w:rsidRPr="006E5612" w:rsidRDefault="00E3226F" w:rsidP="00CB5559">
            <w:pPr>
              <w:keepNext/>
              <w:spacing w:after="0"/>
              <w:jc w:val="right"/>
            </w:pPr>
            <w:r w:rsidRPr="006E5612">
              <w:t>550</w:t>
            </w:r>
          </w:p>
        </w:tc>
      </w:tr>
      <w:tr w:rsidR="00E3226F" w:rsidRPr="0072709A" w14:paraId="251795AF" w14:textId="77777777" w:rsidTr="00CB5559">
        <w:trPr>
          <w:cantSplit/>
        </w:trPr>
        <w:tc>
          <w:tcPr>
            <w:tcW w:w="662" w:type="pct"/>
            <w:tcBorders>
              <w:top w:val="nil"/>
              <w:left w:val="nil"/>
              <w:bottom w:val="single" w:sz="4" w:space="0" w:color="auto"/>
              <w:right w:val="nil"/>
            </w:tcBorders>
            <w:shd w:val="clear" w:color="auto" w:fill="auto"/>
            <w:noWrap/>
            <w:vAlign w:val="bottom"/>
            <w:hideMark/>
          </w:tcPr>
          <w:p w14:paraId="32AC2B90" w14:textId="77777777" w:rsidR="00E3226F" w:rsidRPr="006E5612" w:rsidRDefault="00E3226F" w:rsidP="00CB5559">
            <w:pPr>
              <w:keepNext/>
              <w:spacing w:after="0"/>
              <w:jc w:val="center"/>
            </w:pPr>
            <w:r w:rsidRPr="006E5612">
              <w:t>1.25</w:t>
            </w:r>
          </w:p>
        </w:tc>
        <w:tc>
          <w:tcPr>
            <w:tcW w:w="406" w:type="pct"/>
            <w:gridSpan w:val="2"/>
            <w:tcBorders>
              <w:top w:val="nil"/>
              <w:left w:val="nil"/>
              <w:bottom w:val="single" w:sz="4" w:space="0" w:color="auto"/>
              <w:right w:val="nil"/>
            </w:tcBorders>
            <w:shd w:val="clear" w:color="auto" w:fill="auto"/>
            <w:noWrap/>
            <w:vAlign w:val="center"/>
            <w:hideMark/>
          </w:tcPr>
          <w:p w14:paraId="121014A6" w14:textId="77777777" w:rsidR="00E3226F" w:rsidRPr="006E5612" w:rsidRDefault="00E3226F" w:rsidP="00CB5559">
            <w:pPr>
              <w:keepNext/>
              <w:spacing w:after="0"/>
              <w:jc w:val="right"/>
            </w:pPr>
            <w:r w:rsidRPr="006E5612">
              <w:t>3,814</w:t>
            </w:r>
          </w:p>
        </w:tc>
        <w:tc>
          <w:tcPr>
            <w:tcW w:w="702" w:type="pct"/>
            <w:tcBorders>
              <w:top w:val="nil"/>
              <w:left w:val="nil"/>
              <w:bottom w:val="single" w:sz="4" w:space="0" w:color="auto"/>
              <w:right w:val="nil"/>
            </w:tcBorders>
            <w:shd w:val="clear" w:color="auto" w:fill="auto"/>
            <w:noWrap/>
            <w:vAlign w:val="bottom"/>
            <w:hideMark/>
          </w:tcPr>
          <w:p w14:paraId="0DF4D5E9" w14:textId="77777777" w:rsidR="00E3226F" w:rsidRPr="006E5612" w:rsidRDefault="00E3226F" w:rsidP="00CB5559">
            <w:pPr>
              <w:spacing w:after="0"/>
              <w:jc w:val="right"/>
            </w:pPr>
            <w:r w:rsidRPr="006E5612">
              <w:t>0%</w:t>
            </w:r>
          </w:p>
        </w:tc>
        <w:tc>
          <w:tcPr>
            <w:tcW w:w="403" w:type="pct"/>
            <w:tcBorders>
              <w:top w:val="nil"/>
              <w:left w:val="nil"/>
              <w:bottom w:val="single" w:sz="4" w:space="0" w:color="auto"/>
              <w:right w:val="nil"/>
            </w:tcBorders>
            <w:shd w:val="clear" w:color="auto" w:fill="auto"/>
            <w:noWrap/>
            <w:vAlign w:val="center"/>
            <w:hideMark/>
          </w:tcPr>
          <w:p w14:paraId="04BF0891" w14:textId="77777777" w:rsidR="00E3226F" w:rsidRPr="006E5612" w:rsidRDefault="00E3226F" w:rsidP="00CB5559">
            <w:pPr>
              <w:spacing w:after="0"/>
              <w:jc w:val="right"/>
            </w:pPr>
            <w:r w:rsidRPr="006E5612">
              <w:t>6,524</w:t>
            </w:r>
          </w:p>
        </w:tc>
        <w:tc>
          <w:tcPr>
            <w:tcW w:w="719" w:type="pct"/>
            <w:tcBorders>
              <w:top w:val="nil"/>
              <w:left w:val="nil"/>
              <w:bottom w:val="single" w:sz="4" w:space="0" w:color="auto"/>
              <w:right w:val="nil"/>
            </w:tcBorders>
            <w:shd w:val="clear" w:color="auto" w:fill="auto"/>
            <w:noWrap/>
            <w:vAlign w:val="bottom"/>
            <w:hideMark/>
          </w:tcPr>
          <w:p w14:paraId="2FB849A4" w14:textId="77777777" w:rsidR="00E3226F" w:rsidRPr="006E5612" w:rsidRDefault="00E3226F" w:rsidP="00CB5559">
            <w:pPr>
              <w:spacing w:after="0"/>
              <w:jc w:val="right"/>
            </w:pPr>
            <w:r w:rsidRPr="006E5612">
              <w:t>75%</w:t>
            </w:r>
          </w:p>
        </w:tc>
        <w:tc>
          <w:tcPr>
            <w:tcW w:w="403" w:type="pct"/>
            <w:tcBorders>
              <w:top w:val="nil"/>
              <w:left w:val="nil"/>
              <w:bottom w:val="single" w:sz="4" w:space="0" w:color="auto"/>
              <w:right w:val="nil"/>
            </w:tcBorders>
            <w:shd w:val="clear" w:color="auto" w:fill="auto"/>
            <w:noWrap/>
            <w:vAlign w:val="center"/>
            <w:hideMark/>
          </w:tcPr>
          <w:p w14:paraId="4BEDDD70" w14:textId="77777777" w:rsidR="00E3226F" w:rsidRPr="006E5612" w:rsidRDefault="00E3226F" w:rsidP="00CB5559">
            <w:pPr>
              <w:spacing w:after="0"/>
              <w:jc w:val="right"/>
            </w:pPr>
            <w:r w:rsidRPr="006E5612">
              <w:t>7,349</w:t>
            </w:r>
          </w:p>
        </w:tc>
        <w:tc>
          <w:tcPr>
            <w:tcW w:w="724" w:type="pct"/>
            <w:tcBorders>
              <w:top w:val="nil"/>
              <w:left w:val="nil"/>
              <w:bottom w:val="single" w:sz="4" w:space="0" w:color="auto"/>
              <w:right w:val="nil"/>
            </w:tcBorders>
            <w:shd w:val="clear" w:color="auto" w:fill="auto"/>
            <w:noWrap/>
            <w:vAlign w:val="bottom"/>
            <w:hideMark/>
          </w:tcPr>
          <w:p w14:paraId="7F54E8C0" w14:textId="77777777" w:rsidR="00E3226F" w:rsidRPr="006E5612" w:rsidRDefault="00E3226F" w:rsidP="00CB5559">
            <w:pPr>
              <w:spacing w:after="0"/>
              <w:jc w:val="right"/>
            </w:pPr>
            <w:r w:rsidRPr="006E5612">
              <w:t>75%</w:t>
            </w:r>
          </w:p>
        </w:tc>
        <w:tc>
          <w:tcPr>
            <w:tcW w:w="490" w:type="pct"/>
            <w:tcBorders>
              <w:top w:val="nil"/>
              <w:left w:val="nil"/>
              <w:bottom w:val="single" w:sz="4" w:space="0" w:color="auto"/>
              <w:right w:val="nil"/>
            </w:tcBorders>
            <w:shd w:val="clear" w:color="auto" w:fill="auto"/>
            <w:noWrap/>
            <w:vAlign w:val="bottom"/>
            <w:hideMark/>
          </w:tcPr>
          <w:p w14:paraId="7772107F" w14:textId="77777777" w:rsidR="00E3226F" w:rsidRPr="006E5612" w:rsidRDefault="00E3226F" w:rsidP="00CB5559">
            <w:pPr>
              <w:keepNext/>
              <w:spacing w:after="0"/>
              <w:jc w:val="right"/>
            </w:pPr>
            <w:r w:rsidRPr="006E5612">
              <w:t>570</w:t>
            </w:r>
          </w:p>
        </w:tc>
        <w:tc>
          <w:tcPr>
            <w:tcW w:w="490" w:type="pct"/>
            <w:tcBorders>
              <w:top w:val="nil"/>
              <w:left w:val="nil"/>
              <w:bottom w:val="single" w:sz="4" w:space="0" w:color="auto"/>
              <w:right w:val="nil"/>
            </w:tcBorders>
            <w:shd w:val="clear" w:color="auto" w:fill="auto"/>
            <w:noWrap/>
            <w:vAlign w:val="bottom"/>
            <w:hideMark/>
          </w:tcPr>
          <w:p w14:paraId="6DEFD6FD" w14:textId="77777777" w:rsidR="00E3226F" w:rsidRPr="006E5612" w:rsidRDefault="00E3226F" w:rsidP="00CB5559">
            <w:pPr>
              <w:keepNext/>
              <w:spacing w:after="0"/>
              <w:jc w:val="right"/>
            </w:pPr>
            <w:r w:rsidRPr="006E5612">
              <w:t>660</w:t>
            </w:r>
          </w:p>
        </w:tc>
      </w:tr>
      <w:tr w:rsidR="00E3226F" w:rsidRPr="0072709A" w14:paraId="07BBCADB" w14:textId="77777777" w:rsidTr="00CB5559">
        <w:trPr>
          <w:cantSplit/>
        </w:trPr>
        <w:tc>
          <w:tcPr>
            <w:tcW w:w="662" w:type="pct"/>
            <w:tcBorders>
              <w:top w:val="single" w:sz="4" w:space="0" w:color="auto"/>
              <w:left w:val="nil"/>
              <w:right w:val="nil"/>
            </w:tcBorders>
            <w:shd w:val="clear" w:color="auto" w:fill="auto"/>
            <w:noWrap/>
            <w:vAlign w:val="bottom"/>
            <w:hideMark/>
          </w:tcPr>
          <w:p w14:paraId="14D61219" w14:textId="77777777" w:rsidR="00E3226F" w:rsidRPr="0072709A" w:rsidRDefault="00E3226F" w:rsidP="00CB5559">
            <w:pPr>
              <w:keepNext/>
              <w:spacing w:after="0"/>
              <w:jc w:val="right"/>
              <w:rPr>
                <w:sz w:val="20"/>
              </w:rPr>
            </w:pPr>
          </w:p>
        </w:tc>
        <w:tc>
          <w:tcPr>
            <w:tcW w:w="406" w:type="pct"/>
            <w:gridSpan w:val="2"/>
            <w:tcBorders>
              <w:top w:val="single" w:sz="4" w:space="0" w:color="auto"/>
              <w:left w:val="nil"/>
              <w:right w:val="nil"/>
            </w:tcBorders>
            <w:shd w:val="clear" w:color="auto" w:fill="auto"/>
            <w:noWrap/>
            <w:vAlign w:val="bottom"/>
            <w:hideMark/>
          </w:tcPr>
          <w:p w14:paraId="73811368" w14:textId="77777777" w:rsidR="00E3226F" w:rsidRPr="0072709A" w:rsidRDefault="00E3226F" w:rsidP="00CB5559">
            <w:pPr>
              <w:keepNext/>
              <w:spacing w:after="0"/>
              <w:rPr>
                <w:sz w:val="20"/>
              </w:rPr>
            </w:pPr>
          </w:p>
        </w:tc>
        <w:tc>
          <w:tcPr>
            <w:tcW w:w="702" w:type="pct"/>
            <w:tcBorders>
              <w:top w:val="single" w:sz="4" w:space="0" w:color="auto"/>
              <w:left w:val="nil"/>
              <w:right w:val="nil"/>
            </w:tcBorders>
            <w:shd w:val="clear" w:color="auto" w:fill="auto"/>
            <w:noWrap/>
            <w:vAlign w:val="bottom"/>
            <w:hideMark/>
          </w:tcPr>
          <w:p w14:paraId="39D2842D" w14:textId="77777777" w:rsidR="00E3226F" w:rsidRPr="0072709A" w:rsidRDefault="00E3226F" w:rsidP="00CB5559">
            <w:pPr>
              <w:keepNext/>
              <w:spacing w:after="0"/>
              <w:rPr>
                <w:sz w:val="20"/>
              </w:rPr>
            </w:pPr>
          </w:p>
        </w:tc>
        <w:tc>
          <w:tcPr>
            <w:tcW w:w="403" w:type="pct"/>
            <w:tcBorders>
              <w:top w:val="single" w:sz="4" w:space="0" w:color="auto"/>
              <w:left w:val="nil"/>
              <w:right w:val="nil"/>
            </w:tcBorders>
            <w:shd w:val="clear" w:color="auto" w:fill="auto"/>
            <w:noWrap/>
            <w:vAlign w:val="bottom"/>
            <w:hideMark/>
          </w:tcPr>
          <w:p w14:paraId="5C2594E1" w14:textId="77777777" w:rsidR="00E3226F" w:rsidRPr="0072709A" w:rsidRDefault="00E3226F" w:rsidP="00CB5559">
            <w:pPr>
              <w:keepNext/>
              <w:spacing w:after="0"/>
              <w:rPr>
                <w:sz w:val="20"/>
              </w:rPr>
            </w:pPr>
          </w:p>
        </w:tc>
        <w:tc>
          <w:tcPr>
            <w:tcW w:w="719" w:type="pct"/>
            <w:tcBorders>
              <w:top w:val="single" w:sz="4" w:space="0" w:color="auto"/>
              <w:left w:val="nil"/>
              <w:right w:val="nil"/>
            </w:tcBorders>
            <w:shd w:val="clear" w:color="auto" w:fill="auto"/>
            <w:noWrap/>
            <w:vAlign w:val="bottom"/>
            <w:hideMark/>
          </w:tcPr>
          <w:p w14:paraId="28CD501C" w14:textId="77777777" w:rsidR="00E3226F" w:rsidRPr="0072709A" w:rsidRDefault="00E3226F" w:rsidP="00CB5559">
            <w:pPr>
              <w:keepNext/>
              <w:spacing w:after="0"/>
              <w:rPr>
                <w:sz w:val="20"/>
              </w:rPr>
            </w:pPr>
          </w:p>
        </w:tc>
        <w:tc>
          <w:tcPr>
            <w:tcW w:w="403" w:type="pct"/>
            <w:tcBorders>
              <w:top w:val="single" w:sz="4" w:space="0" w:color="auto"/>
              <w:left w:val="nil"/>
              <w:right w:val="nil"/>
            </w:tcBorders>
            <w:shd w:val="clear" w:color="auto" w:fill="auto"/>
            <w:noWrap/>
            <w:vAlign w:val="bottom"/>
            <w:hideMark/>
          </w:tcPr>
          <w:p w14:paraId="678709E0" w14:textId="77777777" w:rsidR="00E3226F" w:rsidRPr="0072709A" w:rsidRDefault="00E3226F" w:rsidP="00CB5559">
            <w:pPr>
              <w:keepNext/>
              <w:spacing w:after="0"/>
              <w:rPr>
                <w:sz w:val="20"/>
              </w:rPr>
            </w:pPr>
          </w:p>
        </w:tc>
        <w:tc>
          <w:tcPr>
            <w:tcW w:w="724" w:type="pct"/>
            <w:tcBorders>
              <w:top w:val="single" w:sz="4" w:space="0" w:color="auto"/>
              <w:left w:val="nil"/>
              <w:right w:val="nil"/>
            </w:tcBorders>
            <w:shd w:val="clear" w:color="auto" w:fill="auto"/>
            <w:noWrap/>
            <w:vAlign w:val="bottom"/>
            <w:hideMark/>
          </w:tcPr>
          <w:p w14:paraId="4292D00F" w14:textId="77777777" w:rsidR="00E3226F" w:rsidRPr="0072709A" w:rsidRDefault="00E3226F" w:rsidP="00CB5559">
            <w:pPr>
              <w:keepNext/>
              <w:spacing w:after="0"/>
              <w:rPr>
                <w:sz w:val="20"/>
              </w:rPr>
            </w:pPr>
          </w:p>
        </w:tc>
        <w:tc>
          <w:tcPr>
            <w:tcW w:w="490" w:type="pct"/>
            <w:tcBorders>
              <w:top w:val="single" w:sz="4" w:space="0" w:color="auto"/>
              <w:left w:val="nil"/>
              <w:right w:val="nil"/>
            </w:tcBorders>
            <w:shd w:val="clear" w:color="auto" w:fill="auto"/>
            <w:noWrap/>
            <w:vAlign w:val="bottom"/>
            <w:hideMark/>
          </w:tcPr>
          <w:p w14:paraId="1544A8B1" w14:textId="77777777" w:rsidR="00E3226F" w:rsidRPr="0072709A" w:rsidRDefault="00E3226F" w:rsidP="00CB5559">
            <w:pPr>
              <w:keepNext/>
              <w:spacing w:after="0"/>
              <w:rPr>
                <w:sz w:val="20"/>
              </w:rPr>
            </w:pPr>
          </w:p>
        </w:tc>
        <w:tc>
          <w:tcPr>
            <w:tcW w:w="490" w:type="pct"/>
            <w:tcBorders>
              <w:top w:val="single" w:sz="4" w:space="0" w:color="auto"/>
              <w:left w:val="nil"/>
              <w:right w:val="nil"/>
            </w:tcBorders>
            <w:shd w:val="clear" w:color="auto" w:fill="auto"/>
            <w:noWrap/>
            <w:vAlign w:val="bottom"/>
            <w:hideMark/>
          </w:tcPr>
          <w:p w14:paraId="06084E98" w14:textId="77777777" w:rsidR="00E3226F" w:rsidRPr="0072709A" w:rsidRDefault="00E3226F" w:rsidP="00CB5559">
            <w:pPr>
              <w:keepNext/>
              <w:spacing w:after="0"/>
              <w:rPr>
                <w:sz w:val="20"/>
              </w:rPr>
            </w:pPr>
          </w:p>
        </w:tc>
      </w:tr>
      <w:tr w:rsidR="00E3226F" w:rsidRPr="0072709A" w14:paraId="4AE27D95" w14:textId="77777777" w:rsidTr="00CB5559">
        <w:trPr>
          <w:cantSplit/>
        </w:trPr>
        <w:tc>
          <w:tcPr>
            <w:tcW w:w="2893" w:type="pct"/>
            <w:gridSpan w:val="6"/>
            <w:tcBorders>
              <w:left w:val="nil"/>
              <w:bottom w:val="double" w:sz="4" w:space="0" w:color="auto"/>
              <w:right w:val="nil"/>
            </w:tcBorders>
            <w:shd w:val="clear" w:color="auto" w:fill="auto"/>
            <w:noWrap/>
            <w:vAlign w:val="bottom"/>
            <w:hideMark/>
          </w:tcPr>
          <w:p w14:paraId="4A61D86C" w14:textId="77777777" w:rsidR="00E3226F" w:rsidRPr="0072709A" w:rsidRDefault="00E3226F" w:rsidP="00CB5559">
            <w:pPr>
              <w:keepNext/>
              <w:spacing w:after="0"/>
              <w:rPr>
                <w:b/>
                <w:sz w:val="20"/>
              </w:rPr>
            </w:pPr>
            <w:r w:rsidRPr="0072709A">
              <w:rPr>
                <w:b/>
                <w:sz w:val="20"/>
              </w:rPr>
              <w:t xml:space="preserve">Model </w:t>
            </w:r>
            <w:r>
              <w:rPr>
                <w:b/>
                <w:sz w:val="20"/>
              </w:rPr>
              <w:t>2.1,</w:t>
            </w:r>
            <w:r w:rsidRPr="0072709A">
              <w:rPr>
                <w:b/>
                <w:sz w:val="20"/>
              </w:rPr>
              <w:t xml:space="preserve"> </w:t>
            </w:r>
            <w:r>
              <w:rPr>
                <w:b/>
                <w:sz w:val="20"/>
              </w:rPr>
              <w:t>s</w:t>
            </w:r>
            <w:r w:rsidRPr="0072709A">
              <w:rPr>
                <w:b/>
                <w:sz w:val="20"/>
              </w:rPr>
              <w:t>teepness=0.8, recruitment from 2000-201</w:t>
            </w:r>
            <w:r>
              <w:rPr>
                <w:b/>
                <w:sz w:val="20"/>
              </w:rPr>
              <w:t>2</w:t>
            </w:r>
          </w:p>
        </w:tc>
        <w:tc>
          <w:tcPr>
            <w:tcW w:w="403" w:type="pct"/>
            <w:tcBorders>
              <w:left w:val="nil"/>
              <w:bottom w:val="double" w:sz="4" w:space="0" w:color="auto"/>
              <w:right w:val="nil"/>
            </w:tcBorders>
            <w:shd w:val="clear" w:color="auto" w:fill="auto"/>
            <w:noWrap/>
            <w:vAlign w:val="bottom"/>
            <w:hideMark/>
          </w:tcPr>
          <w:p w14:paraId="26B88F29" w14:textId="77777777" w:rsidR="00E3226F" w:rsidRPr="0072709A" w:rsidRDefault="00E3226F" w:rsidP="00CB5559">
            <w:pPr>
              <w:keepNext/>
              <w:spacing w:after="0"/>
              <w:rPr>
                <w:b/>
                <w:sz w:val="20"/>
              </w:rPr>
            </w:pPr>
          </w:p>
        </w:tc>
        <w:tc>
          <w:tcPr>
            <w:tcW w:w="724" w:type="pct"/>
            <w:tcBorders>
              <w:left w:val="nil"/>
              <w:bottom w:val="double" w:sz="4" w:space="0" w:color="auto"/>
              <w:right w:val="nil"/>
            </w:tcBorders>
            <w:shd w:val="clear" w:color="auto" w:fill="auto"/>
            <w:noWrap/>
            <w:vAlign w:val="bottom"/>
            <w:hideMark/>
          </w:tcPr>
          <w:p w14:paraId="1158EF44" w14:textId="77777777" w:rsidR="00E3226F" w:rsidRPr="0072709A" w:rsidRDefault="00E3226F" w:rsidP="00CB5559">
            <w:pPr>
              <w:keepNext/>
              <w:spacing w:after="0"/>
              <w:rPr>
                <w:b/>
                <w:sz w:val="20"/>
              </w:rPr>
            </w:pPr>
          </w:p>
        </w:tc>
        <w:tc>
          <w:tcPr>
            <w:tcW w:w="490" w:type="pct"/>
            <w:tcBorders>
              <w:left w:val="nil"/>
              <w:bottom w:val="double" w:sz="4" w:space="0" w:color="auto"/>
              <w:right w:val="nil"/>
            </w:tcBorders>
            <w:shd w:val="clear" w:color="auto" w:fill="auto"/>
            <w:noWrap/>
            <w:vAlign w:val="bottom"/>
            <w:hideMark/>
          </w:tcPr>
          <w:p w14:paraId="1BDFAF3D" w14:textId="77777777" w:rsidR="00E3226F" w:rsidRPr="0072709A" w:rsidRDefault="00E3226F" w:rsidP="00CB5559">
            <w:pPr>
              <w:keepNext/>
              <w:spacing w:after="0"/>
              <w:rPr>
                <w:b/>
                <w:sz w:val="20"/>
              </w:rPr>
            </w:pPr>
          </w:p>
        </w:tc>
        <w:tc>
          <w:tcPr>
            <w:tcW w:w="490" w:type="pct"/>
            <w:tcBorders>
              <w:left w:val="nil"/>
              <w:bottom w:val="double" w:sz="4" w:space="0" w:color="auto"/>
              <w:right w:val="nil"/>
            </w:tcBorders>
            <w:shd w:val="clear" w:color="auto" w:fill="auto"/>
            <w:noWrap/>
            <w:vAlign w:val="bottom"/>
            <w:hideMark/>
          </w:tcPr>
          <w:p w14:paraId="6F527F17" w14:textId="77777777" w:rsidR="00E3226F" w:rsidRPr="0072709A" w:rsidRDefault="00E3226F" w:rsidP="00CB5559">
            <w:pPr>
              <w:keepNext/>
              <w:spacing w:after="0"/>
              <w:rPr>
                <w:b/>
                <w:sz w:val="20"/>
              </w:rPr>
            </w:pPr>
          </w:p>
        </w:tc>
      </w:tr>
      <w:tr w:rsidR="00E3226F" w:rsidRPr="0072709A" w14:paraId="659E5446" w14:textId="77777777" w:rsidTr="00CB5559">
        <w:trPr>
          <w:cantSplit/>
        </w:trPr>
        <w:tc>
          <w:tcPr>
            <w:tcW w:w="662" w:type="pct"/>
            <w:tcBorders>
              <w:top w:val="single" w:sz="4" w:space="0" w:color="auto"/>
              <w:left w:val="nil"/>
              <w:bottom w:val="nil"/>
              <w:right w:val="nil"/>
            </w:tcBorders>
            <w:shd w:val="clear" w:color="auto" w:fill="auto"/>
            <w:noWrap/>
            <w:vAlign w:val="bottom"/>
          </w:tcPr>
          <w:p w14:paraId="6DF88A14" w14:textId="77777777" w:rsidR="00E3226F" w:rsidRPr="0072709A" w:rsidRDefault="00E3226F" w:rsidP="00CB5559">
            <w:pPr>
              <w:keepNext/>
              <w:spacing w:after="0"/>
              <w:jc w:val="center"/>
              <w:rPr>
                <w:sz w:val="20"/>
              </w:rPr>
            </w:pPr>
            <w:r w:rsidRPr="00E5282C">
              <w:rPr>
                <w:sz w:val="20"/>
              </w:rPr>
              <w:t xml:space="preserve">Multiplier of </w:t>
            </w:r>
            <w:r w:rsidRPr="00E5282C">
              <w:rPr>
                <w:sz w:val="20"/>
              </w:rPr>
              <w:br/>
              <w:t>F</w:t>
            </w:r>
            <w:r w:rsidRPr="00E5282C">
              <w:rPr>
                <w:sz w:val="20"/>
                <w:vertAlign w:val="subscript"/>
              </w:rPr>
              <w:t>201</w:t>
            </w:r>
            <w:r>
              <w:rPr>
                <w:sz w:val="20"/>
                <w:vertAlign w:val="subscript"/>
              </w:rPr>
              <w:t>4</w:t>
            </w:r>
          </w:p>
        </w:tc>
        <w:tc>
          <w:tcPr>
            <w:tcW w:w="339" w:type="pct"/>
            <w:tcBorders>
              <w:top w:val="single" w:sz="4" w:space="0" w:color="auto"/>
              <w:left w:val="nil"/>
              <w:bottom w:val="nil"/>
              <w:right w:val="nil"/>
            </w:tcBorders>
            <w:shd w:val="clear" w:color="auto" w:fill="auto"/>
            <w:noWrap/>
            <w:vAlign w:val="bottom"/>
          </w:tcPr>
          <w:p w14:paraId="72D61002"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201</w:t>
            </w:r>
            <w:r>
              <w:rPr>
                <w:sz w:val="20"/>
                <w:vertAlign w:val="subscript"/>
              </w:rPr>
              <w:t>6</w:t>
            </w:r>
          </w:p>
        </w:tc>
        <w:tc>
          <w:tcPr>
            <w:tcW w:w="769" w:type="pct"/>
            <w:gridSpan w:val="2"/>
            <w:tcBorders>
              <w:top w:val="single" w:sz="4" w:space="0" w:color="auto"/>
              <w:left w:val="nil"/>
              <w:bottom w:val="nil"/>
              <w:right w:val="nil"/>
            </w:tcBorders>
            <w:shd w:val="clear" w:color="auto" w:fill="auto"/>
            <w:noWrap/>
            <w:vAlign w:val="bottom"/>
          </w:tcPr>
          <w:p w14:paraId="1931088D"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201</w:t>
            </w:r>
            <w:r>
              <w:rPr>
                <w:sz w:val="20"/>
                <w:vertAlign w:val="subscript"/>
              </w:rPr>
              <w:t>6</w:t>
            </w:r>
            <w:r w:rsidRPr="0072709A">
              <w:rPr>
                <w:sz w:val="20"/>
              </w:rPr>
              <w:t xml:space="preserve"> &gt; </w:t>
            </w:r>
            <w:r w:rsidRPr="0072709A">
              <w:rPr>
                <w:i/>
                <w:sz w:val="20"/>
              </w:rPr>
              <w:t>B</w:t>
            </w:r>
            <w:r>
              <w:rPr>
                <w:i/>
                <w:sz w:val="20"/>
                <w:vertAlign w:val="subscript"/>
              </w:rPr>
              <w:t>MSY</w:t>
            </w:r>
            <w:r w:rsidRPr="0072709A">
              <w:rPr>
                <w:sz w:val="20"/>
              </w:rPr>
              <w:t>)</w:t>
            </w:r>
          </w:p>
        </w:tc>
        <w:tc>
          <w:tcPr>
            <w:tcW w:w="403" w:type="pct"/>
            <w:tcBorders>
              <w:top w:val="single" w:sz="4" w:space="0" w:color="auto"/>
              <w:left w:val="nil"/>
              <w:bottom w:val="nil"/>
              <w:right w:val="nil"/>
            </w:tcBorders>
            <w:shd w:val="clear" w:color="auto" w:fill="auto"/>
            <w:noWrap/>
            <w:vAlign w:val="bottom"/>
          </w:tcPr>
          <w:p w14:paraId="0921CB63"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202</w:t>
            </w:r>
            <w:r>
              <w:rPr>
                <w:sz w:val="20"/>
                <w:vertAlign w:val="subscript"/>
              </w:rPr>
              <w:t>4</w:t>
            </w:r>
          </w:p>
        </w:tc>
        <w:tc>
          <w:tcPr>
            <w:tcW w:w="719" w:type="pct"/>
            <w:tcBorders>
              <w:top w:val="single" w:sz="4" w:space="0" w:color="auto"/>
              <w:left w:val="nil"/>
              <w:bottom w:val="nil"/>
              <w:right w:val="nil"/>
            </w:tcBorders>
            <w:shd w:val="clear" w:color="auto" w:fill="auto"/>
            <w:noWrap/>
            <w:vAlign w:val="bottom"/>
          </w:tcPr>
          <w:p w14:paraId="70845759"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202</w:t>
            </w:r>
            <w:r>
              <w:rPr>
                <w:sz w:val="20"/>
                <w:vertAlign w:val="subscript"/>
              </w:rPr>
              <w:t>4</w:t>
            </w:r>
            <w:r w:rsidRPr="0072709A">
              <w:rPr>
                <w:sz w:val="20"/>
              </w:rPr>
              <w:t xml:space="preserve"> &gt; </w:t>
            </w:r>
            <w:r w:rsidRPr="0072709A">
              <w:rPr>
                <w:i/>
                <w:sz w:val="20"/>
              </w:rPr>
              <w:t>B</w:t>
            </w:r>
            <w:r>
              <w:rPr>
                <w:i/>
                <w:sz w:val="20"/>
                <w:vertAlign w:val="subscript"/>
              </w:rPr>
              <w:t>MSY</w:t>
            </w:r>
            <w:r w:rsidRPr="0072709A">
              <w:rPr>
                <w:sz w:val="20"/>
              </w:rPr>
              <w:t>)</w:t>
            </w:r>
          </w:p>
        </w:tc>
        <w:tc>
          <w:tcPr>
            <w:tcW w:w="403" w:type="pct"/>
            <w:tcBorders>
              <w:top w:val="single" w:sz="4" w:space="0" w:color="auto"/>
              <w:left w:val="nil"/>
              <w:bottom w:val="nil"/>
              <w:right w:val="nil"/>
            </w:tcBorders>
            <w:shd w:val="clear" w:color="auto" w:fill="auto"/>
            <w:noWrap/>
            <w:vAlign w:val="bottom"/>
          </w:tcPr>
          <w:p w14:paraId="2017EEFD"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203</w:t>
            </w:r>
            <w:r>
              <w:rPr>
                <w:sz w:val="20"/>
                <w:vertAlign w:val="subscript"/>
              </w:rPr>
              <w:t>4</w:t>
            </w:r>
          </w:p>
        </w:tc>
        <w:tc>
          <w:tcPr>
            <w:tcW w:w="724" w:type="pct"/>
            <w:tcBorders>
              <w:top w:val="single" w:sz="4" w:space="0" w:color="auto"/>
              <w:left w:val="nil"/>
              <w:bottom w:val="nil"/>
              <w:right w:val="nil"/>
            </w:tcBorders>
            <w:shd w:val="clear" w:color="auto" w:fill="auto"/>
            <w:noWrap/>
            <w:vAlign w:val="bottom"/>
          </w:tcPr>
          <w:p w14:paraId="51382AEA"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203</w:t>
            </w:r>
            <w:r>
              <w:rPr>
                <w:sz w:val="20"/>
                <w:vertAlign w:val="subscript"/>
              </w:rPr>
              <w:t>4</w:t>
            </w:r>
            <w:r w:rsidRPr="0072709A">
              <w:rPr>
                <w:sz w:val="20"/>
              </w:rPr>
              <w:t xml:space="preserve"> &gt; </w:t>
            </w:r>
            <w:r w:rsidRPr="0072709A">
              <w:rPr>
                <w:i/>
                <w:sz w:val="20"/>
              </w:rPr>
              <w:t>B</w:t>
            </w:r>
            <w:r>
              <w:rPr>
                <w:i/>
                <w:sz w:val="20"/>
                <w:vertAlign w:val="subscript"/>
              </w:rPr>
              <w:t>MSY</w:t>
            </w:r>
            <w:r w:rsidRPr="0072709A">
              <w:rPr>
                <w:sz w:val="20"/>
              </w:rPr>
              <w:t>)</w:t>
            </w:r>
          </w:p>
        </w:tc>
        <w:tc>
          <w:tcPr>
            <w:tcW w:w="490" w:type="pct"/>
            <w:tcBorders>
              <w:top w:val="single" w:sz="4" w:space="0" w:color="auto"/>
              <w:left w:val="nil"/>
              <w:bottom w:val="nil"/>
              <w:right w:val="nil"/>
            </w:tcBorders>
            <w:shd w:val="clear" w:color="auto" w:fill="auto"/>
            <w:noWrap/>
            <w:vAlign w:val="bottom"/>
          </w:tcPr>
          <w:p w14:paraId="72D32607" w14:textId="77777777" w:rsidR="00E3226F" w:rsidRPr="0072709A" w:rsidRDefault="00E3226F" w:rsidP="00CB5559">
            <w:pPr>
              <w:keepNext/>
              <w:spacing w:after="0"/>
              <w:jc w:val="right"/>
              <w:rPr>
                <w:sz w:val="20"/>
              </w:rPr>
            </w:pPr>
            <w:r w:rsidRPr="0072709A">
              <w:rPr>
                <w:sz w:val="20"/>
              </w:rPr>
              <w:t xml:space="preserve">Catch </w:t>
            </w:r>
            <w:r>
              <w:rPr>
                <w:sz w:val="20"/>
              </w:rPr>
              <w:br/>
              <w:t>2015 (kt)</w:t>
            </w:r>
          </w:p>
        </w:tc>
        <w:tc>
          <w:tcPr>
            <w:tcW w:w="490" w:type="pct"/>
            <w:tcBorders>
              <w:top w:val="single" w:sz="4" w:space="0" w:color="auto"/>
              <w:left w:val="nil"/>
              <w:bottom w:val="nil"/>
              <w:right w:val="nil"/>
            </w:tcBorders>
            <w:shd w:val="clear" w:color="auto" w:fill="auto"/>
            <w:noWrap/>
            <w:vAlign w:val="bottom"/>
          </w:tcPr>
          <w:p w14:paraId="2966BE46" w14:textId="77777777" w:rsidR="00E3226F" w:rsidRPr="0072709A" w:rsidRDefault="00E3226F" w:rsidP="00CB5559">
            <w:pPr>
              <w:keepNext/>
              <w:spacing w:after="0"/>
              <w:jc w:val="right"/>
              <w:rPr>
                <w:sz w:val="20"/>
              </w:rPr>
            </w:pPr>
            <w:r w:rsidRPr="0072709A">
              <w:rPr>
                <w:sz w:val="20"/>
              </w:rPr>
              <w:t xml:space="preserve">Catch </w:t>
            </w:r>
            <w:r>
              <w:rPr>
                <w:sz w:val="20"/>
              </w:rPr>
              <w:br/>
            </w:r>
            <w:r w:rsidRPr="0072709A">
              <w:rPr>
                <w:sz w:val="20"/>
              </w:rPr>
              <w:t>201</w:t>
            </w:r>
            <w:r>
              <w:rPr>
                <w:sz w:val="20"/>
              </w:rPr>
              <w:t>6 (kt)</w:t>
            </w:r>
          </w:p>
        </w:tc>
      </w:tr>
      <w:tr w:rsidR="00E3226F" w:rsidRPr="0072709A" w14:paraId="41BA796F" w14:textId="77777777" w:rsidTr="00CB5559">
        <w:trPr>
          <w:cantSplit/>
        </w:trPr>
        <w:tc>
          <w:tcPr>
            <w:tcW w:w="662" w:type="pct"/>
            <w:tcBorders>
              <w:top w:val="single" w:sz="4" w:space="0" w:color="auto"/>
              <w:left w:val="nil"/>
              <w:bottom w:val="nil"/>
              <w:right w:val="nil"/>
            </w:tcBorders>
            <w:shd w:val="clear" w:color="auto" w:fill="auto"/>
            <w:noWrap/>
            <w:vAlign w:val="bottom"/>
            <w:hideMark/>
          </w:tcPr>
          <w:p w14:paraId="06140143" w14:textId="77777777" w:rsidR="00E3226F" w:rsidRPr="0072709A" w:rsidRDefault="00E3226F" w:rsidP="00CB5559">
            <w:pPr>
              <w:keepNext/>
              <w:spacing w:after="0"/>
              <w:jc w:val="center"/>
              <w:rPr>
                <w:sz w:val="20"/>
              </w:rPr>
            </w:pPr>
            <w:r w:rsidRPr="0072709A">
              <w:rPr>
                <w:sz w:val="20"/>
              </w:rPr>
              <w:t>0.00</w:t>
            </w:r>
          </w:p>
        </w:tc>
        <w:tc>
          <w:tcPr>
            <w:tcW w:w="339" w:type="pct"/>
            <w:tcBorders>
              <w:top w:val="single" w:sz="4" w:space="0" w:color="auto"/>
              <w:left w:val="nil"/>
              <w:bottom w:val="nil"/>
              <w:right w:val="nil"/>
            </w:tcBorders>
            <w:shd w:val="clear" w:color="auto" w:fill="auto"/>
            <w:noWrap/>
            <w:vAlign w:val="center"/>
            <w:hideMark/>
          </w:tcPr>
          <w:p w14:paraId="4881162B" w14:textId="77777777" w:rsidR="00E3226F" w:rsidRPr="0072709A" w:rsidRDefault="00E3226F" w:rsidP="00CB5559">
            <w:pPr>
              <w:keepNext/>
              <w:spacing w:after="0"/>
              <w:jc w:val="right"/>
              <w:rPr>
                <w:sz w:val="20"/>
              </w:rPr>
            </w:pPr>
            <w:r>
              <w:rPr>
                <w:rFonts w:eastAsia="Times New Roman" w:cs="Times New Roman"/>
              </w:rPr>
              <w:t>4,283</w:t>
            </w:r>
          </w:p>
        </w:tc>
        <w:tc>
          <w:tcPr>
            <w:tcW w:w="769" w:type="pct"/>
            <w:gridSpan w:val="2"/>
            <w:tcBorders>
              <w:top w:val="single" w:sz="4" w:space="0" w:color="auto"/>
              <w:left w:val="nil"/>
              <w:bottom w:val="nil"/>
              <w:right w:val="nil"/>
            </w:tcBorders>
            <w:shd w:val="clear" w:color="auto" w:fill="auto"/>
            <w:noWrap/>
            <w:vAlign w:val="bottom"/>
            <w:hideMark/>
          </w:tcPr>
          <w:p w14:paraId="1B3C5D9E" w14:textId="77777777" w:rsidR="00E3226F" w:rsidRPr="0072709A" w:rsidRDefault="00E3226F" w:rsidP="00CB5559">
            <w:pPr>
              <w:keepNext/>
              <w:spacing w:after="0"/>
              <w:jc w:val="right"/>
              <w:rPr>
                <w:sz w:val="20"/>
              </w:rPr>
            </w:pPr>
            <w:r>
              <w:rPr>
                <w:rFonts w:eastAsia="Times New Roman" w:cs="Times New Roman"/>
                <w:sz w:val="24"/>
                <w:szCs w:val="24"/>
              </w:rPr>
              <w:t>1%</w:t>
            </w:r>
          </w:p>
        </w:tc>
        <w:tc>
          <w:tcPr>
            <w:tcW w:w="403" w:type="pct"/>
            <w:tcBorders>
              <w:top w:val="single" w:sz="4" w:space="0" w:color="auto"/>
              <w:left w:val="nil"/>
              <w:bottom w:val="nil"/>
              <w:right w:val="nil"/>
            </w:tcBorders>
            <w:shd w:val="clear" w:color="auto" w:fill="auto"/>
            <w:noWrap/>
            <w:vAlign w:val="center"/>
            <w:hideMark/>
          </w:tcPr>
          <w:p w14:paraId="75E042BF" w14:textId="77777777" w:rsidR="00E3226F" w:rsidRPr="0072709A" w:rsidRDefault="00E3226F" w:rsidP="00CB5559">
            <w:pPr>
              <w:keepNext/>
              <w:spacing w:after="0"/>
              <w:jc w:val="right"/>
              <w:rPr>
                <w:sz w:val="20"/>
              </w:rPr>
            </w:pPr>
            <w:r>
              <w:rPr>
                <w:rFonts w:eastAsia="Times New Roman" w:cs="Times New Roman"/>
              </w:rPr>
              <w:t>8,198</w:t>
            </w:r>
          </w:p>
        </w:tc>
        <w:tc>
          <w:tcPr>
            <w:tcW w:w="719" w:type="pct"/>
            <w:tcBorders>
              <w:top w:val="single" w:sz="4" w:space="0" w:color="auto"/>
              <w:left w:val="nil"/>
              <w:bottom w:val="nil"/>
              <w:right w:val="nil"/>
            </w:tcBorders>
            <w:shd w:val="clear" w:color="auto" w:fill="auto"/>
            <w:noWrap/>
            <w:vAlign w:val="bottom"/>
            <w:hideMark/>
          </w:tcPr>
          <w:p w14:paraId="376D9D1D" w14:textId="77777777" w:rsidR="00E3226F" w:rsidRPr="0072709A" w:rsidRDefault="00E3226F" w:rsidP="00CB5559">
            <w:pPr>
              <w:keepNext/>
              <w:spacing w:after="0"/>
              <w:jc w:val="right"/>
              <w:rPr>
                <w:sz w:val="20"/>
              </w:rPr>
            </w:pPr>
            <w:r>
              <w:rPr>
                <w:rFonts w:eastAsia="Times New Roman" w:cs="Times New Roman"/>
                <w:sz w:val="24"/>
                <w:szCs w:val="24"/>
              </w:rPr>
              <w:t>97%</w:t>
            </w:r>
          </w:p>
        </w:tc>
        <w:tc>
          <w:tcPr>
            <w:tcW w:w="403" w:type="pct"/>
            <w:tcBorders>
              <w:top w:val="single" w:sz="4" w:space="0" w:color="auto"/>
              <w:left w:val="nil"/>
              <w:bottom w:val="nil"/>
              <w:right w:val="nil"/>
            </w:tcBorders>
            <w:shd w:val="clear" w:color="auto" w:fill="auto"/>
            <w:noWrap/>
            <w:vAlign w:val="center"/>
            <w:hideMark/>
          </w:tcPr>
          <w:p w14:paraId="0331219A" w14:textId="77777777" w:rsidR="00E3226F" w:rsidRPr="0072709A" w:rsidRDefault="00E3226F" w:rsidP="00CB5559">
            <w:pPr>
              <w:keepNext/>
              <w:spacing w:after="0"/>
              <w:jc w:val="right"/>
              <w:rPr>
                <w:sz w:val="20"/>
              </w:rPr>
            </w:pPr>
            <w:r>
              <w:rPr>
                <w:rFonts w:eastAsia="Times New Roman" w:cs="Times New Roman"/>
              </w:rPr>
              <w:t>8,892</w:t>
            </w:r>
          </w:p>
        </w:tc>
        <w:tc>
          <w:tcPr>
            <w:tcW w:w="724" w:type="pct"/>
            <w:tcBorders>
              <w:top w:val="single" w:sz="4" w:space="0" w:color="auto"/>
              <w:left w:val="nil"/>
              <w:bottom w:val="nil"/>
              <w:right w:val="nil"/>
            </w:tcBorders>
            <w:shd w:val="clear" w:color="auto" w:fill="auto"/>
            <w:noWrap/>
            <w:vAlign w:val="bottom"/>
            <w:hideMark/>
          </w:tcPr>
          <w:p w14:paraId="0EE2D00A" w14:textId="77777777" w:rsidR="00E3226F" w:rsidRPr="0072709A" w:rsidRDefault="00E3226F" w:rsidP="00CB5559">
            <w:pPr>
              <w:keepNext/>
              <w:spacing w:after="0"/>
              <w:jc w:val="right"/>
              <w:rPr>
                <w:sz w:val="20"/>
              </w:rPr>
            </w:pPr>
            <w:r>
              <w:rPr>
                <w:rFonts w:eastAsia="Times New Roman" w:cs="Times New Roman"/>
                <w:sz w:val="24"/>
                <w:szCs w:val="24"/>
              </w:rPr>
              <w:t>97%</w:t>
            </w:r>
          </w:p>
        </w:tc>
        <w:tc>
          <w:tcPr>
            <w:tcW w:w="490" w:type="pct"/>
            <w:tcBorders>
              <w:top w:val="single" w:sz="4" w:space="0" w:color="auto"/>
              <w:left w:val="nil"/>
              <w:bottom w:val="nil"/>
              <w:right w:val="nil"/>
            </w:tcBorders>
            <w:shd w:val="clear" w:color="auto" w:fill="auto"/>
            <w:noWrap/>
            <w:vAlign w:val="bottom"/>
            <w:hideMark/>
          </w:tcPr>
          <w:p w14:paraId="2E53C0DD" w14:textId="77777777" w:rsidR="00E3226F" w:rsidRPr="0072709A" w:rsidRDefault="00E3226F" w:rsidP="00CB5559">
            <w:pPr>
              <w:keepNext/>
              <w:spacing w:after="0"/>
              <w:jc w:val="right"/>
              <w:rPr>
                <w:sz w:val="20"/>
              </w:rPr>
            </w:pPr>
            <w:r w:rsidRPr="006E5612">
              <w:t>0</w:t>
            </w:r>
          </w:p>
        </w:tc>
        <w:tc>
          <w:tcPr>
            <w:tcW w:w="490" w:type="pct"/>
            <w:tcBorders>
              <w:top w:val="single" w:sz="4" w:space="0" w:color="auto"/>
              <w:left w:val="nil"/>
              <w:bottom w:val="nil"/>
              <w:right w:val="nil"/>
            </w:tcBorders>
            <w:shd w:val="clear" w:color="auto" w:fill="auto"/>
            <w:noWrap/>
            <w:vAlign w:val="bottom"/>
            <w:hideMark/>
          </w:tcPr>
          <w:p w14:paraId="5E1AB5BA" w14:textId="77777777" w:rsidR="00E3226F" w:rsidRPr="0072709A" w:rsidRDefault="00E3226F" w:rsidP="00CB5559">
            <w:pPr>
              <w:keepNext/>
              <w:spacing w:after="0"/>
              <w:jc w:val="right"/>
              <w:rPr>
                <w:sz w:val="20"/>
              </w:rPr>
            </w:pPr>
            <w:r w:rsidRPr="006E5612">
              <w:t>0</w:t>
            </w:r>
          </w:p>
        </w:tc>
      </w:tr>
      <w:tr w:rsidR="00E3226F" w:rsidRPr="0072709A" w14:paraId="24DA2BA3" w14:textId="77777777" w:rsidTr="00CB5559">
        <w:trPr>
          <w:cantSplit/>
        </w:trPr>
        <w:tc>
          <w:tcPr>
            <w:tcW w:w="662" w:type="pct"/>
            <w:tcBorders>
              <w:top w:val="nil"/>
              <w:left w:val="nil"/>
              <w:bottom w:val="nil"/>
              <w:right w:val="nil"/>
            </w:tcBorders>
            <w:shd w:val="clear" w:color="auto" w:fill="auto"/>
            <w:noWrap/>
            <w:vAlign w:val="bottom"/>
          </w:tcPr>
          <w:p w14:paraId="29D18180" w14:textId="77777777" w:rsidR="00E3226F" w:rsidRPr="0072709A" w:rsidRDefault="00E3226F" w:rsidP="00CB5559">
            <w:pPr>
              <w:keepNext/>
              <w:spacing w:after="0"/>
              <w:jc w:val="center"/>
              <w:rPr>
                <w:sz w:val="20"/>
              </w:rPr>
            </w:pPr>
            <w:r>
              <w:rPr>
                <w:sz w:val="20"/>
              </w:rPr>
              <w:t>0.50</w:t>
            </w:r>
          </w:p>
        </w:tc>
        <w:tc>
          <w:tcPr>
            <w:tcW w:w="339" w:type="pct"/>
            <w:tcBorders>
              <w:top w:val="nil"/>
              <w:left w:val="nil"/>
              <w:bottom w:val="nil"/>
              <w:right w:val="nil"/>
            </w:tcBorders>
            <w:shd w:val="clear" w:color="auto" w:fill="auto"/>
            <w:noWrap/>
            <w:vAlign w:val="center"/>
          </w:tcPr>
          <w:p w14:paraId="6561CDBC" w14:textId="77777777" w:rsidR="00E3226F" w:rsidRPr="0072709A" w:rsidRDefault="00E3226F" w:rsidP="00CB5559">
            <w:pPr>
              <w:keepNext/>
              <w:spacing w:after="0"/>
              <w:jc w:val="right"/>
              <w:rPr>
                <w:sz w:val="20"/>
              </w:rPr>
            </w:pPr>
            <w:r>
              <w:rPr>
                <w:rFonts w:eastAsia="Times New Roman" w:cs="Times New Roman"/>
              </w:rPr>
              <w:t>3,957</w:t>
            </w:r>
          </w:p>
        </w:tc>
        <w:tc>
          <w:tcPr>
            <w:tcW w:w="769" w:type="pct"/>
            <w:gridSpan w:val="2"/>
            <w:tcBorders>
              <w:top w:val="nil"/>
              <w:left w:val="nil"/>
              <w:bottom w:val="nil"/>
              <w:right w:val="nil"/>
            </w:tcBorders>
            <w:shd w:val="clear" w:color="auto" w:fill="auto"/>
            <w:noWrap/>
            <w:vAlign w:val="bottom"/>
          </w:tcPr>
          <w:p w14:paraId="741E9503" w14:textId="77777777" w:rsidR="00E3226F" w:rsidRPr="0072709A" w:rsidRDefault="00E3226F" w:rsidP="00CB5559">
            <w:pPr>
              <w:keepNext/>
              <w:spacing w:after="0"/>
              <w:jc w:val="right"/>
              <w:rPr>
                <w:sz w:val="20"/>
              </w:rPr>
            </w:pPr>
            <w:r>
              <w:rPr>
                <w:rFonts w:eastAsia="Times New Roman" w:cs="Times New Roman"/>
                <w:sz w:val="24"/>
                <w:szCs w:val="24"/>
              </w:rPr>
              <w:t>0%</w:t>
            </w:r>
          </w:p>
        </w:tc>
        <w:tc>
          <w:tcPr>
            <w:tcW w:w="403" w:type="pct"/>
            <w:tcBorders>
              <w:top w:val="nil"/>
              <w:left w:val="nil"/>
              <w:bottom w:val="nil"/>
              <w:right w:val="nil"/>
            </w:tcBorders>
            <w:shd w:val="clear" w:color="auto" w:fill="auto"/>
            <w:noWrap/>
            <w:vAlign w:val="center"/>
          </w:tcPr>
          <w:p w14:paraId="54478D9F" w14:textId="77777777" w:rsidR="00E3226F" w:rsidRPr="0072709A" w:rsidRDefault="00E3226F" w:rsidP="00CB5559">
            <w:pPr>
              <w:keepNext/>
              <w:spacing w:after="0"/>
              <w:jc w:val="right"/>
              <w:rPr>
                <w:sz w:val="20"/>
              </w:rPr>
            </w:pPr>
            <w:r>
              <w:rPr>
                <w:rFonts w:eastAsia="Times New Roman" w:cs="Times New Roman"/>
              </w:rPr>
              <w:t>5,482</w:t>
            </w:r>
          </w:p>
        </w:tc>
        <w:tc>
          <w:tcPr>
            <w:tcW w:w="719" w:type="pct"/>
            <w:tcBorders>
              <w:top w:val="nil"/>
              <w:left w:val="nil"/>
              <w:bottom w:val="nil"/>
              <w:right w:val="nil"/>
            </w:tcBorders>
            <w:shd w:val="clear" w:color="auto" w:fill="auto"/>
            <w:noWrap/>
            <w:vAlign w:val="bottom"/>
          </w:tcPr>
          <w:p w14:paraId="5810FE94" w14:textId="77777777" w:rsidR="00E3226F" w:rsidRPr="0072709A" w:rsidRDefault="00E3226F" w:rsidP="00CB5559">
            <w:pPr>
              <w:keepNext/>
              <w:spacing w:after="0"/>
              <w:jc w:val="right"/>
              <w:rPr>
                <w:sz w:val="20"/>
              </w:rPr>
            </w:pPr>
            <w:r>
              <w:rPr>
                <w:rFonts w:eastAsia="Times New Roman" w:cs="Times New Roman"/>
                <w:sz w:val="24"/>
                <w:szCs w:val="24"/>
              </w:rPr>
              <w:t>49%</w:t>
            </w:r>
          </w:p>
        </w:tc>
        <w:tc>
          <w:tcPr>
            <w:tcW w:w="403" w:type="pct"/>
            <w:tcBorders>
              <w:top w:val="nil"/>
              <w:left w:val="nil"/>
              <w:bottom w:val="nil"/>
              <w:right w:val="nil"/>
            </w:tcBorders>
            <w:shd w:val="clear" w:color="auto" w:fill="auto"/>
            <w:noWrap/>
            <w:vAlign w:val="center"/>
          </w:tcPr>
          <w:p w14:paraId="1F034A3C" w14:textId="77777777" w:rsidR="00E3226F" w:rsidRPr="0072709A" w:rsidRDefault="00E3226F" w:rsidP="00CB5559">
            <w:pPr>
              <w:keepNext/>
              <w:spacing w:after="0"/>
              <w:jc w:val="right"/>
              <w:rPr>
                <w:sz w:val="20"/>
              </w:rPr>
            </w:pPr>
            <w:r>
              <w:rPr>
                <w:rFonts w:eastAsia="Times New Roman" w:cs="Times New Roman"/>
              </w:rPr>
              <w:t>5,387</w:t>
            </w:r>
          </w:p>
        </w:tc>
        <w:tc>
          <w:tcPr>
            <w:tcW w:w="724" w:type="pct"/>
            <w:tcBorders>
              <w:top w:val="nil"/>
              <w:left w:val="nil"/>
              <w:bottom w:val="nil"/>
              <w:right w:val="nil"/>
            </w:tcBorders>
            <w:shd w:val="clear" w:color="auto" w:fill="auto"/>
            <w:noWrap/>
            <w:vAlign w:val="bottom"/>
          </w:tcPr>
          <w:p w14:paraId="5C43AACC" w14:textId="77777777" w:rsidR="00E3226F" w:rsidRPr="0072709A" w:rsidRDefault="00E3226F" w:rsidP="00CB5559">
            <w:pPr>
              <w:keepNext/>
              <w:spacing w:after="0"/>
              <w:jc w:val="right"/>
              <w:rPr>
                <w:sz w:val="20"/>
              </w:rPr>
            </w:pPr>
            <w:r>
              <w:rPr>
                <w:rFonts w:eastAsia="Times New Roman" w:cs="Times New Roman"/>
                <w:sz w:val="24"/>
                <w:szCs w:val="24"/>
              </w:rPr>
              <w:t>49%</w:t>
            </w:r>
          </w:p>
        </w:tc>
        <w:tc>
          <w:tcPr>
            <w:tcW w:w="490" w:type="pct"/>
            <w:tcBorders>
              <w:top w:val="nil"/>
              <w:left w:val="nil"/>
              <w:bottom w:val="nil"/>
              <w:right w:val="nil"/>
            </w:tcBorders>
            <w:shd w:val="clear" w:color="auto" w:fill="auto"/>
            <w:noWrap/>
            <w:vAlign w:val="bottom"/>
          </w:tcPr>
          <w:p w14:paraId="2AFC4D7F" w14:textId="77777777" w:rsidR="00E3226F" w:rsidRPr="0072709A" w:rsidRDefault="00E3226F" w:rsidP="00CB5559">
            <w:pPr>
              <w:keepNext/>
              <w:spacing w:after="0"/>
              <w:jc w:val="right"/>
              <w:rPr>
                <w:sz w:val="20"/>
              </w:rPr>
            </w:pPr>
            <w:r w:rsidRPr="006E5612">
              <w:t>240</w:t>
            </w:r>
          </w:p>
        </w:tc>
        <w:tc>
          <w:tcPr>
            <w:tcW w:w="490" w:type="pct"/>
            <w:tcBorders>
              <w:top w:val="nil"/>
              <w:left w:val="nil"/>
              <w:bottom w:val="nil"/>
              <w:right w:val="nil"/>
            </w:tcBorders>
            <w:shd w:val="clear" w:color="auto" w:fill="auto"/>
            <w:noWrap/>
            <w:vAlign w:val="bottom"/>
          </w:tcPr>
          <w:p w14:paraId="2C35BE81" w14:textId="77777777" w:rsidR="00E3226F" w:rsidRPr="0072709A" w:rsidRDefault="00E3226F" w:rsidP="00CB5559">
            <w:pPr>
              <w:keepNext/>
              <w:spacing w:after="0"/>
              <w:jc w:val="right"/>
              <w:rPr>
                <w:sz w:val="20"/>
              </w:rPr>
            </w:pPr>
            <w:r w:rsidRPr="006E5612">
              <w:t>300</w:t>
            </w:r>
          </w:p>
        </w:tc>
      </w:tr>
      <w:tr w:rsidR="00E3226F" w:rsidRPr="0072709A" w14:paraId="09C4B2ED" w14:textId="77777777" w:rsidTr="00CB5559">
        <w:trPr>
          <w:cantSplit/>
        </w:trPr>
        <w:tc>
          <w:tcPr>
            <w:tcW w:w="662" w:type="pct"/>
            <w:tcBorders>
              <w:top w:val="nil"/>
              <w:left w:val="nil"/>
              <w:bottom w:val="nil"/>
              <w:right w:val="nil"/>
            </w:tcBorders>
            <w:shd w:val="clear" w:color="auto" w:fill="auto"/>
            <w:noWrap/>
            <w:vAlign w:val="bottom"/>
            <w:hideMark/>
          </w:tcPr>
          <w:p w14:paraId="60C8DEB6" w14:textId="77777777" w:rsidR="00E3226F" w:rsidRPr="0072709A" w:rsidRDefault="00E3226F" w:rsidP="00CB5559">
            <w:pPr>
              <w:keepNext/>
              <w:spacing w:after="0"/>
              <w:jc w:val="center"/>
              <w:rPr>
                <w:sz w:val="20"/>
              </w:rPr>
            </w:pPr>
            <w:r w:rsidRPr="0072709A">
              <w:rPr>
                <w:sz w:val="20"/>
              </w:rPr>
              <w:t>0.75</w:t>
            </w:r>
          </w:p>
        </w:tc>
        <w:tc>
          <w:tcPr>
            <w:tcW w:w="339" w:type="pct"/>
            <w:tcBorders>
              <w:top w:val="nil"/>
              <w:left w:val="nil"/>
              <w:bottom w:val="nil"/>
              <w:right w:val="nil"/>
            </w:tcBorders>
            <w:shd w:val="clear" w:color="auto" w:fill="auto"/>
            <w:noWrap/>
            <w:vAlign w:val="center"/>
            <w:hideMark/>
          </w:tcPr>
          <w:p w14:paraId="1514C56F" w14:textId="77777777" w:rsidR="00E3226F" w:rsidRPr="0072709A" w:rsidRDefault="00E3226F" w:rsidP="00CB5559">
            <w:pPr>
              <w:keepNext/>
              <w:spacing w:after="0"/>
              <w:jc w:val="right"/>
              <w:rPr>
                <w:sz w:val="20"/>
              </w:rPr>
            </w:pPr>
            <w:r>
              <w:rPr>
                <w:rFonts w:eastAsia="Times New Roman" w:cs="Times New Roman"/>
              </w:rPr>
              <w:t>3,808</w:t>
            </w:r>
          </w:p>
        </w:tc>
        <w:tc>
          <w:tcPr>
            <w:tcW w:w="769" w:type="pct"/>
            <w:gridSpan w:val="2"/>
            <w:tcBorders>
              <w:top w:val="nil"/>
              <w:left w:val="nil"/>
              <w:bottom w:val="nil"/>
              <w:right w:val="nil"/>
            </w:tcBorders>
            <w:shd w:val="clear" w:color="auto" w:fill="auto"/>
            <w:noWrap/>
            <w:vAlign w:val="bottom"/>
            <w:hideMark/>
          </w:tcPr>
          <w:p w14:paraId="58E6FA94" w14:textId="77777777" w:rsidR="00E3226F" w:rsidRPr="0072709A" w:rsidRDefault="00E3226F" w:rsidP="00CB5559">
            <w:pPr>
              <w:keepNext/>
              <w:spacing w:after="0"/>
              <w:jc w:val="right"/>
              <w:rPr>
                <w:sz w:val="20"/>
              </w:rPr>
            </w:pPr>
            <w:r>
              <w:rPr>
                <w:rFonts w:eastAsia="Times New Roman" w:cs="Times New Roman"/>
                <w:sz w:val="24"/>
                <w:szCs w:val="24"/>
              </w:rPr>
              <w:t>0%</w:t>
            </w:r>
          </w:p>
        </w:tc>
        <w:tc>
          <w:tcPr>
            <w:tcW w:w="403" w:type="pct"/>
            <w:tcBorders>
              <w:top w:val="nil"/>
              <w:left w:val="nil"/>
              <w:bottom w:val="nil"/>
              <w:right w:val="nil"/>
            </w:tcBorders>
            <w:shd w:val="clear" w:color="auto" w:fill="auto"/>
            <w:noWrap/>
            <w:vAlign w:val="center"/>
            <w:hideMark/>
          </w:tcPr>
          <w:p w14:paraId="3027F601" w14:textId="77777777" w:rsidR="00E3226F" w:rsidRPr="0072709A" w:rsidRDefault="00E3226F" w:rsidP="00CB5559">
            <w:pPr>
              <w:keepNext/>
              <w:spacing w:after="0"/>
              <w:jc w:val="right"/>
              <w:rPr>
                <w:sz w:val="20"/>
              </w:rPr>
            </w:pPr>
            <w:r>
              <w:rPr>
                <w:rFonts w:eastAsia="Times New Roman" w:cs="Times New Roman"/>
              </w:rPr>
              <w:t>4,628</w:t>
            </w:r>
          </w:p>
        </w:tc>
        <w:tc>
          <w:tcPr>
            <w:tcW w:w="719" w:type="pct"/>
            <w:tcBorders>
              <w:top w:val="nil"/>
              <w:left w:val="nil"/>
              <w:bottom w:val="nil"/>
              <w:right w:val="nil"/>
            </w:tcBorders>
            <w:shd w:val="clear" w:color="auto" w:fill="auto"/>
            <w:noWrap/>
            <w:vAlign w:val="bottom"/>
            <w:hideMark/>
          </w:tcPr>
          <w:p w14:paraId="08154FF8" w14:textId="77777777" w:rsidR="00E3226F" w:rsidRPr="0072709A" w:rsidRDefault="00E3226F" w:rsidP="00CB5559">
            <w:pPr>
              <w:keepNext/>
              <w:spacing w:after="0"/>
              <w:jc w:val="right"/>
              <w:rPr>
                <w:sz w:val="20"/>
              </w:rPr>
            </w:pPr>
            <w:r>
              <w:rPr>
                <w:rFonts w:eastAsia="Times New Roman" w:cs="Times New Roman"/>
                <w:sz w:val="24"/>
                <w:szCs w:val="24"/>
              </w:rPr>
              <w:t>20%</w:t>
            </w:r>
          </w:p>
        </w:tc>
        <w:tc>
          <w:tcPr>
            <w:tcW w:w="403" w:type="pct"/>
            <w:tcBorders>
              <w:top w:val="nil"/>
              <w:left w:val="nil"/>
              <w:bottom w:val="nil"/>
              <w:right w:val="nil"/>
            </w:tcBorders>
            <w:shd w:val="clear" w:color="auto" w:fill="auto"/>
            <w:noWrap/>
            <w:vAlign w:val="center"/>
            <w:hideMark/>
          </w:tcPr>
          <w:p w14:paraId="34A99B23" w14:textId="77777777" w:rsidR="00E3226F" w:rsidRPr="0072709A" w:rsidRDefault="00E3226F" w:rsidP="00CB5559">
            <w:pPr>
              <w:keepNext/>
              <w:spacing w:after="0"/>
              <w:jc w:val="right"/>
              <w:rPr>
                <w:sz w:val="20"/>
              </w:rPr>
            </w:pPr>
            <w:r>
              <w:rPr>
                <w:rFonts w:eastAsia="Times New Roman" w:cs="Times New Roman"/>
              </w:rPr>
              <w:t>4,453</w:t>
            </w:r>
          </w:p>
        </w:tc>
        <w:tc>
          <w:tcPr>
            <w:tcW w:w="724" w:type="pct"/>
            <w:tcBorders>
              <w:top w:val="nil"/>
              <w:left w:val="nil"/>
              <w:bottom w:val="nil"/>
              <w:right w:val="nil"/>
            </w:tcBorders>
            <w:shd w:val="clear" w:color="auto" w:fill="auto"/>
            <w:noWrap/>
            <w:vAlign w:val="bottom"/>
            <w:hideMark/>
          </w:tcPr>
          <w:p w14:paraId="69B15079" w14:textId="77777777" w:rsidR="00E3226F" w:rsidRPr="0072709A" w:rsidRDefault="00E3226F" w:rsidP="00CB5559">
            <w:pPr>
              <w:keepNext/>
              <w:spacing w:after="0"/>
              <w:jc w:val="right"/>
              <w:rPr>
                <w:sz w:val="20"/>
              </w:rPr>
            </w:pPr>
            <w:r>
              <w:rPr>
                <w:rFonts w:eastAsia="Times New Roman" w:cs="Times New Roman"/>
                <w:sz w:val="24"/>
                <w:szCs w:val="24"/>
              </w:rPr>
              <w:t>20%</w:t>
            </w:r>
          </w:p>
        </w:tc>
        <w:tc>
          <w:tcPr>
            <w:tcW w:w="490" w:type="pct"/>
            <w:tcBorders>
              <w:top w:val="nil"/>
              <w:left w:val="nil"/>
              <w:bottom w:val="nil"/>
              <w:right w:val="nil"/>
            </w:tcBorders>
            <w:shd w:val="clear" w:color="auto" w:fill="auto"/>
            <w:noWrap/>
            <w:vAlign w:val="bottom"/>
            <w:hideMark/>
          </w:tcPr>
          <w:p w14:paraId="52692C17" w14:textId="77777777" w:rsidR="00E3226F" w:rsidRPr="0072709A" w:rsidRDefault="00E3226F" w:rsidP="00CB5559">
            <w:pPr>
              <w:keepNext/>
              <w:spacing w:after="0"/>
              <w:jc w:val="right"/>
              <w:rPr>
                <w:sz w:val="20"/>
              </w:rPr>
            </w:pPr>
            <w:r w:rsidRPr="006E5612">
              <w:t>350</w:t>
            </w:r>
          </w:p>
        </w:tc>
        <w:tc>
          <w:tcPr>
            <w:tcW w:w="490" w:type="pct"/>
            <w:tcBorders>
              <w:top w:val="nil"/>
              <w:left w:val="nil"/>
              <w:bottom w:val="nil"/>
              <w:right w:val="nil"/>
            </w:tcBorders>
            <w:shd w:val="clear" w:color="auto" w:fill="auto"/>
            <w:noWrap/>
            <w:vAlign w:val="bottom"/>
            <w:hideMark/>
          </w:tcPr>
          <w:p w14:paraId="27CD4B0B" w14:textId="77777777" w:rsidR="00E3226F" w:rsidRPr="0072709A" w:rsidRDefault="00E3226F" w:rsidP="00CB5559">
            <w:pPr>
              <w:keepNext/>
              <w:spacing w:after="0"/>
              <w:jc w:val="right"/>
              <w:rPr>
                <w:sz w:val="20"/>
              </w:rPr>
            </w:pPr>
            <w:r w:rsidRPr="006E5612">
              <w:t>430</w:t>
            </w:r>
          </w:p>
        </w:tc>
      </w:tr>
      <w:tr w:rsidR="00E3226F" w:rsidRPr="0072709A" w14:paraId="05D50132" w14:textId="77777777" w:rsidTr="00CB5559">
        <w:trPr>
          <w:cantSplit/>
        </w:trPr>
        <w:tc>
          <w:tcPr>
            <w:tcW w:w="662" w:type="pct"/>
            <w:tcBorders>
              <w:top w:val="nil"/>
              <w:left w:val="nil"/>
              <w:right w:val="nil"/>
            </w:tcBorders>
            <w:shd w:val="clear" w:color="auto" w:fill="auto"/>
            <w:noWrap/>
            <w:vAlign w:val="bottom"/>
            <w:hideMark/>
          </w:tcPr>
          <w:p w14:paraId="5A10DDFA" w14:textId="77777777" w:rsidR="00E3226F" w:rsidRPr="0072709A" w:rsidRDefault="00E3226F" w:rsidP="00CB5559">
            <w:pPr>
              <w:keepNext/>
              <w:spacing w:after="0"/>
              <w:jc w:val="center"/>
              <w:rPr>
                <w:sz w:val="20"/>
              </w:rPr>
            </w:pPr>
            <w:r w:rsidRPr="0072709A">
              <w:rPr>
                <w:sz w:val="20"/>
              </w:rPr>
              <w:t>1.00</w:t>
            </w:r>
          </w:p>
        </w:tc>
        <w:tc>
          <w:tcPr>
            <w:tcW w:w="339" w:type="pct"/>
            <w:tcBorders>
              <w:top w:val="nil"/>
              <w:left w:val="nil"/>
              <w:right w:val="nil"/>
            </w:tcBorders>
            <w:shd w:val="clear" w:color="auto" w:fill="auto"/>
            <w:noWrap/>
            <w:vAlign w:val="center"/>
            <w:hideMark/>
          </w:tcPr>
          <w:p w14:paraId="54209C48" w14:textId="77777777" w:rsidR="00E3226F" w:rsidRPr="0072709A" w:rsidRDefault="00E3226F" w:rsidP="00CB5559">
            <w:pPr>
              <w:keepNext/>
              <w:spacing w:after="0"/>
              <w:jc w:val="right"/>
              <w:rPr>
                <w:sz w:val="20"/>
              </w:rPr>
            </w:pPr>
            <w:r>
              <w:rPr>
                <w:rFonts w:eastAsia="Times New Roman" w:cs="Times New Roman"/>
              </w:rPr>
              <w:t>3,668</w:t>
            </w:r>
          </w:p>
        </w:tc>
        <w:tc>
          <w:tcPr>
            <w:tcW w:w="769" w:type="pct"/>
            <w:gridSpan w:val="2"/>
            <w:tcBorders>
              <w:top w:val="nil"/>
              <w:left w:val="nil"/>
              <w:right w:val="nil"/>
            </w:tcBorders>
            <w:shd w:val="clear" w:color="auto" w:fill="auto"/>
            <w:noWrap/>
            <w:vAlign w:val="bottom"/>
            <w:hideMark/>
          </w:tcPr>
          <w:p w14:paraId="0218558B" w14:textId="77777777" w:rsidR="00E3226F" w:rsidRPr="0072709A" w:rsidRDefault="00E3226F" w:rsidP="00CB5559">
            <w:pPr>
              <w:keepNext/>
              <w:spacing w:after="0"/>
              <w:jc w:val="right"/>
              <w:rPr>
                <w:sz w:val="20"/>
              </w:rPr>
            </w:pPr>
            <w:r>
              <w:rPr>
                <w:rFonts w:eastAsia="Times New Roman" w:cs="Times New Roman"/>
                <w:sz w:val="24"/>
                <w:szCs w:val="24"/>
              </w:rPr>
              <w:t>0%</w:t>
            </w:r>
          </w:p>
        </w:tc>
        <w:tc>
          <w:tcPr>
            <w:tcW w:w="403" w:type="pct"/>
            <w:tcBorders>
              <w:top w:val="nil"/>
              <w:left w:val="nil"/>
              <w:right w:val="nil"/>
            </w:tcBorders>
            <w:shd w:val="clear" w:color="auto" w:fill="auto"/>
            <w:noWrap/>
            <w:vAlign w:val="center"/>
            <w:hideMark/>
          </w:tcPr>
          <w:p w14:paraId="7A9671BC" w14:textId="77777777" w:rsidR="00E3226F" w:rsidRPr="0072709A" w:rsidRDefault="00E3226F" w:rsidP="00CB5559">
            <w:pPr>
              <w:keepNext/>
              <w:spacing w:after="0"/>
              <w:jc w:val="right"/>
              <w:rPr>
                <w:sz w:val="20"/>
              </w:rPr>
            </w:pPr>
            <w:r>
              <w:rPr>
                <w:rFonts w:eastAsia="Times New Roman" w:cs="Times New Roman"/>
              </w:rPr>
              <w:t>3,977</w:t>
            </w:r>
          </w:p>
        </w:tc>
        <w:tc>
          <w:tcPr>
            <w:tcW w:w="719" w:type="pct"/>
            <w:tcBorders>
              <w:top w:val="nil"/>
              <w:left w:val="nil"/>
              <w:right w:val="nil"/>
            </w:tcBorders>
            <w:shd w:val="clear" w:color="auto" w:fill="auto"/>
            <w:noWrap/>
            <w:vAlign w:val="bottom"/>
            <w:hideMark/>
          </w:tcPr>
          <w:p w14:paraId="78963AFF" w14:textId="77777777" w:rsidR="00E3226F" w:rsidRPr="0072709A" w:rsidRDefault="00E3226F" w:rsidP="00CB5559">
            <w:pPr>
              <w:keepNext/>
              <w:spacing w:after="0"/>
              <w:jc w:val="right"/>
              <w:rPr>
                <w:sz w:val="20"/>
              </w:rPr>
            </w:pPr>
            <w:r>
              <w:rPr>
                <w:rFonts w:eastAsia="Times New Roman" w:cs="Times New Roman"/>
                <w:sz w:val="24"/>
                <w:szCs w:val="24"/>
              </w:rPr>
              <w:t>6%</w:t>
            </w:r>
          </w:p>
        </w:tc>
        <w:tc>
          <w:tcPr>
            <w:tcW w:w="403" w:type="pct"/>
            <w:tcBorders>
              <w:top w:val="nil"/>
              <w:left w:val="nil"/>
              <w:right w:val="nil"/>
            </w:tcBorders>
            <w:shd w:val="clear" w:color="auto" w:fill="auto"/>
            <w:noWrap/>
            <w:vAlign w:val="center"/>
            <w:hideMark/>
          </w:tcPr>
          <w:p w14:paraId="36624997" w14:textId="77777777" w:rsidR="00E3226F" w:rsidRPr="0072709A" w:rsidRDefault="00E3226F" w:rsidP="00CB5559">
            <w:pPr>
              <w:keepNext/>
              <w:spacing w:after="0"/>
              <w:jc w:val="right"/>
              <w:rPr>
                <w:sz w:val="20"/>
              </w:rPr>
            </w:pPr>
            <w:r>
              <w:rPr>
                <w:rFonts w:eastAsia="Times New Roman" w:cs="Times New Roman"/>
              </w:rPr>
              <w:t>3,779</w:t>
            </w:r>
          </w:p>
        </w:tc>
        <w:tc>
          <w:tcPr>
            <w:tcW w:w="724" w:type="pct"/>
            <w:tcBorders>
              <w:top w:val="nil"/>
              <w:left w:val="nil"/>
              <w:right w:val="nil"/>
            </w:tcBorders>
            <w:shd w:val="clear" w:color="auto" w:fill="auto"/>
            <w:noWrap/>
            <w:vAlign w:val="bottom"/>
            <w:hideMark/>
          </w:tcPr>
          <w:p w14:paraId="73ADF08E" w14:textId="77777777" w:rsidR="00E3226F" w:rsidRPr="0072709A" w:rsidRDefault="00E3226F" w:rsidP="00CB5559">
            <w:pPr>
              <w:keepNext/>
              <w:spacing w:after="0"/>
              <w:jc w:val="right"/>
              <w:rPr>
                <w:sz w:val="20"/>
              </w:rPr>
            </w:pPr>
            <w:r>
              <w:rPr>
                <w:rFonts w:eastAsia="Times New Roman" w:cs="Times New Roman"/>
                <w:sz w:val="24"/>
                <w:szCs w:val="24"/>
              </w:rPr>
              <w:t>6%</w:t>
            </w:r>
          </w:p>
        </w:tc>
        <w:tc>
          <w:tcPr>
            <w:tcW w:w="490" w:type="pct"/>
            <w:tcBorders>
              <w:top w:val="nil"/>
              <w:left w:val="nil"/>
              <w:right w:val="nil"/>
            </w:tcBorders>
            <w:shd w:val="clear" w:color="auto" w:fill="auto"/>
            <w:noWrap/>
            <w:vAlign w:val="bottom"/>
            <w:hideMark/>
          </w:tcPr>
          <w:p w14:paraId="72F27B75" w14:textId="77777777" w:rsidR="00E3226F" w:rsidRPr="0072709A" w:rsidRDefault="00E3226F" w:rsidP="00CB5559">
            <w:pPr>
              <w:keepNext/>
              <w:spacing w:after="0"/>
              <w:jc w:val="right"/>
              <w:rPr>
                <w:sz w:val="20"/>
              </w:rPr>
            </w:pPr>
            <w:r w:rsidRPr="006E5612">
              <w:t>460</w:t>
            </w:r>
          </w:p>
        </w:tc>
        <w:tc>
          <w:tcPr>
            <w:tcW w:w="490" w:type="pct"/>
            <w:tcBorders>
              <w:top w:val="nil"/>
              <w:left w:val="nil"/>
              <w:right w:val="nil"/>
            </w:tcBorders>
            <w:shd w:val="clear" w:color="auto" w:fill="auto"/>
            <w:noWrap/>
            <w:vAlign w:val="bottom"/>
            <w:hideMark/>
          </w:tcPr>
          <w:p w14:paraId="5B772BB7" w14:textId="77777777" w:rsidR="00E3226F" w:rsidRPr="0072709A" w:rsidRDefault="00E3226F" w:rsidP="00CB5559">
            <w:pPr>
              <w:keepNext/>
              <w:spacing w:after="0"/>
              <w:jc w:val="right"/>
              <w:rPr>
                <w:sz w:val="20"/>
              </w:rPr>
            </w:pPr>
            <w:r w:rsidRPr="006E5612">
              <w:t>550</w:t>
            </w:r>
          </w:p>
        </w:tc>
      </w:tr>
      <w:tr w:rsidR="00E3226F" w:rsidRPr="0072709A" w14:paraId="75945129" w14:textId="77777777" w:rsidTr="00CB5559">
        <w:trPr>
          <w:cantSplit/>
        </w:trPr>
        <w:tc>
          <w:tcPr>
            <w:tcW w:w="662" w:type="pct"/>
            <w:tcBorders>
              <w:top w:val="nil"/>
              <w:left w:val="nil"/>
              <w:bottom w:val="single" w:sz="4" w:space="0" w:color="auto"/>
              <w:right w:val="nil"/>
            </w:tcBorders>
            <w:shd w:val="clear" w:color="auto" w:fill="auto"/>
            <w:noWrap/>
            <w:vAlign w:val="bottom"/>
            <w:hideMark/>
          </w:tcPr>
          <w:p w14:paraId="579B9C5A" w14:textId="77777777" w:rsidR="00E3226F" w:rsidRPr="0072709A" w:rsidRDefault="00E3226F" w:rsidP="00CB5559">
            <w:pPr>
              <w:keepNext/>
              <w:spacing w:after="0"/>
              <w:jc w:val="center"/>
              <w:rPr>
                <w:sz w:val="20"/>
              </w:rPr>
            </w:pPr>
            <w:r w:rsidRPr="0072709A">
              <w:rPr>
                <w:sz w:val="20"/>
              </w:rPr>
              <w:t>1.25</w:t>
            </w:r>
          </w:p>
        </w:tc>
        <w:tc>
          <w:tcPr>
            <w:tcW w:w="339" w:type="pct"/>
            <w:tcBorders>
              <w:top w:val="nil"/>
              <w:left w:val="nil"/>
              <w:bottom w:val="single" w:sz="4" w:space="0" w:color="auto"/>
              <w:right w:val="nil"/>
            </w:tcBorders>
            <w:shd w:val="clear" w:color="auto" w:fill="auto"/>
            <w:noWrap/>
            <w:vAlign w:val="center"/>
            <w:hideMark/>
          </w:tcPr>
          <w:p w14:paraId="07CA0396" w14:textId="77777777" w:rsidR="00E3226F" w:rsidRPr="0072709A" w:rsidRDefault="00E3226F" w:rsidP="00CB5559">
            <w:pPr>
              <w:keepNext/>
              <w:spacing w:after="0"/>
              <w:jc w:val="right"/>
              <w:rPr>
                <w:sz w:val="20"/>
              </w:rPr>
            </w:pPr>
            <w:r>
              <w:rPr>
                <w:rFonts w:eastAsia="Times New Roman" w:cs="Times New Roman"/>
              </w:rPr>
              <w:t>3,535</w:t>
            </w:r>
          </w:p>
        </w:tc>
        <w:tc>
          <w:tcPr>
            <w:tcW w:w="769" w:type="pct"/>
            <w:gridSpan w:val="2"/>
            <w:tcBorders>
              <w:top w:val="nil"/>
              <w:left w:val="nil"/>
              <w:bottom w:val="single" w:sz="4" w:space="0" w:color="auto"/>
              <w:right w:val="nil"/>
            </w:tcBorders>
            <w:shd w:val="clear" w:color="auto" w:fill="auto"/>
            <w:noWrap/>
            <w:vAlign w:val="bottom"/>
            <w:hideMark/>
          </w:tcPr>
          <w:p w14:paraId="6BF851A1" w14:textId="77777777" w:rsidR="00E3226F" w:rsidRPr="00E5282C" w:rsidRDefault="00E3226F" w:rsidP="00CB5559">
            <w:pPr>
              <w:spacing w:after="0"/>
              <w:jc w:val="right"/>
              <w:rPr>
                <w:sz w:val="20"/>
              </w:rPr>
            </w:pPr>
            <w:r>
              <w:rPr>
                <w:rFonts w:eastAsia="Times New Roman" w:cs="Times New Roman"/>
                <w:sz w:val="24"/>
                <w:szCs w:val="24"/>
              </w:rPr>
              <w:t>0%</w:t>
            </w:r>
          </w:p>
        </w:tc>
        <w:tc>
          <w:tcPr>
            <w:tcW w:w="403" w:type="pct"/>
            <w:tcBorders>
              <w:top w:val="nil"/>
              <w:left w:val="nil"/>
              <w:bottom w:val="single" w:sz="4" w:space="0" w:color="auto"/>
              <w:right w:val="nil"/>
            </w:tcBorders>
            <w:shd w:val="clear" w:color="auto" w:fill="auto"/>
            <w:noWrap/>
            <w:vAlign w:val="center"/>
            <w:hideMark/>
          </w:tcPr>
          <w:p w14:paraId="306079E9" w14:textId="77777777" w:rsidR="00E3226F" w:rsidRPr="00E5282C" w:rsidRDefault="00E3226F" w:rsidP="00CB5559">
            <w:pPr>
              <w:spacing w:after="0"/>
              <w:jc w:val="right"/>
              <w:rPr>
                <w:sz w:val="20"/>
              </w:rPr>
            </w:pPr>
            <w:r>
              <w:rPr>
                <w:rFonts w:eastAsia="Times New Roman" w:cs="Times New Roman"/>
              </w:rPr>
              <w:t>3,469</w:t>
            </w:r>
          </w:p>
        </w:tc>
        <w:tc>
          <w:tcPr>
            <w:tcW w:w="719" w:type="pct"/>
            <w:tcBorders>
              <w:top w:val="nil"/>
              <w:left w:val="nil"/>
              <w:bottom w:val="single" w:sz="4" w:space="0" w:color="auto"/>
              <w:right w:val="nil"/>
            </w:tcBorders>
            <w:shd w:val="clear" w:color="auto" w:fill="auto"/>
            <w:noWrap/>
            <w:vAlign w:val="bottom"/>
            <w:hideMark/>
          </w:tcPr>
          <w:p w14:paraId="0031B332" w14:textId="77777777" w:rsidR="00E3226F" w:rsidRPr="00E5282C" w:rsidRDefault="00E3226F" w:rsidP="00CB5559">
            <w:pPr>
              <w:spacing w:after="0"/>
              <w:jc w:val="right"/>
              <w:rPr>
                <w:sz w:val="20"/>
              </w:rPr>
            </w:pPr>
            <w:r>
              <w:rPr>
                <w:rFonts w:eastAsia="Times New Roman" w:cs="Times New Roman"/>
                <w:sz w:val="24"/>
                <w:szCs w:val="24"/>
              </w:rPr>
              <w:t>1%</w:t>
            </w:r>
          </w:p>
        </w:tc>
        <w:tc>
          <w:tcPr>
            <w:tcW w:w="403" w:type="pct"/>
            <w:tcBorders>
              <w:top w:val="nil"/>
              <w:left w:val="nil"/>
              <w:bottom w:val="single" w:sz="4" w:space="0" w:color="auto"/>
              <w:right w:val="nil"/>
            </w:tcBorders>
            <w:shd w:val="clear" w:color="auto" w:fill="auto"/>
            <w:noWrap/>
            <w:vAlign w:val="center"/>
            <w:hideMark/>
          </w:tcPr>
          <w:p w14:paraId="0DB42696" w14:textId="77777777" w:rsidR="00E3226F" w:rsidRPr="00E5282C" w:rsidRDefault="00E3226F" w:rsidP="00CB5559">
            <w:pPr>
              <w:spacing w:after="0"/>
              <w:jc w:val="right"/>
              <w:rPr>
                <w:sz w:val="20"/>
              </w:rPr>
            </w:pPr>
            <w:r>
              <w:rPr>
                <w:rFonts w:eastAsia="Times New Roman" w:cs="Times New Roman"/>
              </w:rPr>
              <w:t>3,270</w:t>
            </w:r>
          </w:p>
        </w:tc>
        <w:tc>
          <w:tcPr>
            <w:tcW w:w="724" w:type="pct"/>
            <w:tcBorders>
              <w:top w:val="nil"/>
              <w:left w:val="nil"/>
              <w:bottom w:val="single" w:sz="4" w:space="0" w:color="auto"/>
              <w:right w:val="nil"/>
            </w:tcBorders>
            <w:shd w:val="clear" w:color="auto" w:fill="auto"/>
            <w:noWrap/>
            <w:vAlign w:val="bottom"/>
            <w:hideMark/>
          </w:tcPr>
          <w:p w14:paraId="5338FC6B" w14:textId="77777777" w:rsidR="00E3226F" w:rsidRPr="00E5282C" w:rsidRDefault="00E3226F" w:rsidP="00CB5559">
            <w:pPr>
              <w:spacing w:after="0"/>
              <w:jc w:val="right"/>
              <w:rPr>
                <w:sz w:val="20"/>
              </w:rPr>
            </w:pPr>
            <w:r>
              <w:rPr>
                <w:rFonts w:eastAsia="Times New Roman" w:cs="Times New Roman"/>
                <w:sz w:val="24"/>
                <w:szCs w:val="24"/>
              </w:rPr>
              <w:t>1%</w:t>
            </w:r>
          </w:p>
        </w:tc>
        <w:tc>
          <w:tcPr>
            <w:tcW w:w="490" w:type="pct"/>
            <w:tcBorders>
              <w:top w:val="nil"/>
              <w:left w:val="nil"/>
              <w:bottom w:val="single" w:sz="4" w:space="0" w:color="auto"/>
              <w:right w:val="nil"/>
            </w:tcBorders>
            <w:shd w:val="clear" w:color="auto" w:fill="auto"/>
            <w:noWrap/>
            <w:vAlign w:val="bottom"/>
            <w:hideMark/>
          </w:tcPr>
          <w:p w14:paraId="4C38785B" w14:textId="77777777" w:rsidR="00E3226F" w:rsidRPr="00E5282C" w:rsidRDefault="00E3226F" w:rsidP="00CB5559">
            <w:pPr>
              <w:keepNext/>
              <w:spacing w:after="0"/>
              <w:jc w:val="right"/>
              <w:rPr>
                <w:sz w:val="20"/>
              </w:rPr>
            </w:pPr>
            <w:r w:rsidRPr="006E5612">
              <w:t>570</w:t>
            </w:r>
          </w:p>
        </w:tc>
        <w:tc>
          <w:tcPr>
            <w:tcW w:w="490" w:type="pct"/>
            <w:tcBorders>
              <w:top w:val="nil"/>
              <w:left w:val="nil"/>
              <w:bottom w:val="single" w:sz="4" w:space="0" w:color="auto"/>
              <w:right w:val="nil"/>
            </w:tcBorders>
            <w:shd w:val="clear" w:color="auto" w:fill="auto"/>
            <w:noWrap/>
            <w:vAlign w:val="bottom"/>
            <w:hideMark/>
          </w:tcPr>
          <w:p w14:paraId="2D6E2529" w14:textId="77777777" w:rsidR="00E3226F" w:rsidRPr="00E5282C" w:rsidRDefault="00E3226F" w:rsidP="00CB5559">
            <w:pPr>
              <w:keepNext/>
              <w:spacing w:after="0"/>
              <w:jc w:val="right"/>
              <w:rPr>
                <w:sz w:val="20"/>
              </w:rPr>
            </w:pPr>
            <w:r w:rsidRPr="006E5612">
              <w:t>660</w:t>
            </w:r>
          </w:p>
        </w:tc>
      </w:tr>
      <w:tr w:rsidR="00E3226F" w:rsidRPr="0072709A" w14:paraId="728AFC54" w14:textId="77777777" w:rsidTr="00CB5559">
        <w:trPr>
          <w:cantSplit/>
        </w:trPr>
        <w:tc>
          <w:tcPr>
            <w:tcW w:w="662" w:type="pct"/>
            <w:tcBorders>
              <w:top w:val="single" w:sz="4" w:space="0" w:color="auto"/>
              <w:left w:val="nil"/>
              <w:bottom w:val="nil"/>
              <w:right w:val="nil"/>
            </w:tcBorders>
            <w:shd w:val="clear" w:color="auto" w:fill="auto"/>
            <w:noWrap/>
            <w:vAlign w:val="bottom"/>
            <w:hideMark/>
          </w:tcPr>
          <w:p w14:paraId="55FA85BC" w14:textId="77777777" w:rsidR="00E3226F" w:rsidRPr="0072709A" w:rsidRDefault="00E3226F" w:rsidP="00CB5559">
            <w:pPr>
              <w:keepNext/>
              <w:spacing w:after="0"/>
              <w:jc w:val="right"/>
              <w:rPr>
                <w:sz w:val="20"/>
              </w:rPr>
            </w:pPr>
          </w:p>
        </w:tc>
        <w:tc>
          <w:tcPr>
            <w:tcW w:w="339" w:type="pct"/>
            <w:tcBorders>
              <w:top w:val="single" w:sz="4" w:space="0" w:color="auto"/>
              <w:left w:val="nil"/>
              <w:bottom w:val="nil"/>
              <w:right w:val="nil"/>
            </w:tcBorders>
            <w:shd w:val="clear" w:color="auto" w:fill="auto"/>
            <w:noWrap/>
            <w:vAlign w:val="bottom"/>
            <w:hideMark/>
          </w:tcPr>
          <w:p w14:paraId="06E9503F" w14:textId="77777777" w:rsidR="00E3226F" w:rsidRPr="0072709A" w:rsidRDefault="00E3226F" w:rsidP="00CB5559">
            <w:pPr>
              <w:keepNext/>
              <w:spacing w:after="0"/>
              <w:rPr>
                <w:sz w:val="20"/>
              </w:rPr>
            </w:pPr>
          </w:p>
        </w:tc>
        <w:tc>
          <w:tcPr>
            <w:tcW w:w="769" w:type="pct"/>
            <w:gridSpan w:val="2"/>
            <w:tcBorders>
              <w:top w:val="single" w:sz="4" w:space="0" w:color="auto"/>
              <w:left w:val="nil"/>
              <w:bottom w:val="nil"/>
              <w:right w:val="nil"/>
            </w:tcBorders>
            <w:shd w:val="clear" w:color="auto" w:fill="auto"/>
            <w:noWrap/>
            <w:vAlign w:val="bottom"/>
            <w:hideMark/>
          </w:tcPr>
          <w:p w14:paraId="3FB83749" w14:textId="77777777" w:rsidR="00E3226F" w:rsidRPr="0072709A" w:rsidRDefault="00E3226F" w:rsidP="00CB5559">
            <w:pPr>
              <w:keepNext/>
              <w:spacing w:after="0"/>
              <w:rPr>
                <w:sz w:val="20"/>
              </w:rPr>
            </w:pPr>
          </w:p>
        </w:tc>
        <w:tc>
          <w:tcPr>
            <w:tcW w:w="403" w:type="pct"/>
            <w:tcBorders>
              <w:top w:val="single" w:sz="4" w:space="0" w:color="auto"/>
              <w:left w:val="nil"/>
              <w:bottom w:val="nil"/>
              <w:right w:val="nil"/>
            </w:tcBorders>
            <w:shd w:val="clear" w:color="auto" w:fill="auto"/>
            <w:noWrap/>
            <w:vAlign w:val="bottom"/>
            <w:hideMark/>
          </w:tcPr>
          <w:p w14:paraId="192DC06A" w14:textId="77777777" w:rsidR="00E3226F" w:rsidRPr="0072709A" w:rsidRDefault="00E3226F" w:rsidP="00CB5559">
            <w:pPr>
              <w:keepNext/>
              <w:spacing w:after="0"/>
              <w:rPr>
                <w:sz w:val="20"/>
              </w:rPr>
            </w:pPr>
          </w:p>
        </w:tc>
        <w:tc>
          <w:tcPr>
            <w:tcW w:w="719" w:type="pct"/>
            <w:tcBorders>
              <w:top w:val="single" w:sz="4" w:space="0" w:color="auto"/>
              <w:left w:val="nil"/>
              <w:bottom w:val="nil"/>
              <w:right w:val="nil"/>
            </w:tcBorders>
            <w:shd w:val="clear" w:color="auto" w:fill="auto"/>
            <w:noWrap/>
            <w:vAlign w:val="bottom"/>
            <w:hideMark/>
          </w:tcPr>
          <w:p w14:paraId="0B3B74A2" w14:textId="77777777" w:rsidR="00E3226F" w:rsidRPr="0072709A" w:rsidRDefault="00E3226F" w:rsidP="00CB5559">
            <w:pPr>
              <w:keepNext/>
              <w:spacing w:after="0"/>
              <w:rPr>
                <w:sz w:val="20"/>
              </w:rPr>
            </w:pPr>
          </w:p>
        </w:tc>
        <w:tc>
          <w:tcPr>
            <w:tcW w:w="403" w:type="pct"/>
            <w:tcBorders>
              <w:top w:val="single" w:sz="4" w:space="0" w:color="auto"/>
              <w:left w:val="nil"/>
              <w:bottom w:val="nil"/>
              <w:right w:val="nil"/>
            </w:tcBorders>
            <w:shd w:val="clear" w:color="auto" w:fill="auto"/>
            <w:noWrap/>
            <w:vAlign w:val="bottom"/>
            <w:hideMark/>
          </w:tcPr>
          <w:p w14:paraId="02F62154" w14:textId="77777777" w:rsidR="00E3226F" w:rsidRPr="0072709A" w:rsidRDefault="00E3226F" w:rsidP="00CB5559">
            <w:pPr>
              <w:keepNext/>
              <w:spacing w:after="0"/>
              <w:rPr>
                <w:sz w:val="20"/>
              </w:rPr>
            </w:pPr>
          </w:p>
        </w:tc>
        <w:tc>
          <w:tcPr>
            <w:tcW w:w="724" w:type="pct"/>
            <w:tcBorders>
              <w:top w:val="single" w:sz="4" w:space="0" w:color="auto"/>
              <w:left w:val="nil"/>
              <w:bottom w:val="nil"/>
              <w:right w:val="nil"/>
            </w:tcBorders>
            <w:shd w:val="clear" w:color="auto" w:fill="auto"/>
            <w:noWrap/>
            <w:vAlign w:val="bottom"/>
            <w:hideMark/>
          </w:tcPr>
          <w:p w14:paraId="37694904" w14:textId="77777777" w:rsidR="00E3226F" w:rsidRPr="0072709A" w:rsidRDefault="00E3226F" w:rsidP="00CB5559">
            <w:pPr>
              <w:keepNext/>
              <w:spacing w:after="0"/>
              <w:rPr>
                <w:sz w:val="20"/>
              </w:rPr>
            </w:pPr>
          </w:p>
        </w:tc>
        <w:tc>
          <w:tcPr>
            <w:tcW w:w="490" w:type="pct"/>
            <w:tcBorders>
              <w:top w:val="single" w:sz="4" w:space="0" w:color="auto"/>
              <w:left w:val="nil"/>
              <w:bottom w:val="nil"/>
              <w:right w:val="nil"/>
            </w:tcBorders>
            <w:shd w:val="clear" w:color="auto" w:fill="auto"/>
            <w:noWrap/>
            <w:vAlign w:val="bottom"/>
            <w:hideMark/>
          </w:tcPr>
          <w:p w14:paraId="5D22EC74" w14:textId="77777777" w:rsidR="00E3226F" w:rsidRPr="0072709A" w:rsidRDefault="00E3226F" w:rsidP="00CB5559">
            <w:pPr>
              <w:keepNext/>
              <w:spacing w:after="0"/>
              <w:rPr>
                <w:sz w:val="20"/>
              </w:rPr>
            </w:pPr>
          </w:p>
        </w:tc>
        <w:tc>
          <w:tcPr>
            <w:tcW w:w="490" w:type="pct"/>
            <w:tcBorders>
              <w:top w:val="single" w:sz="4" w:space="0" w:color="auto"/>
              <w:left w:val="nil"/>
              <w:bottom w:val="nil"/>
              <w:right w:val="nil"/>
            </w:tcBorders>
            <w:shd w:val="clear" w:color="auto" w:fill="auto"/>
            <w:noWrap/>
            <w:vAlign w:val="bottom"/>
            <w:hideMark/>
          </w:tcPr>
          <w:p w14:paraId="1FD6125B" w14:textId="77777777" w:rsidR="00E3226F" w:rsidRPr="0072709A" w:rsidRDefault="00E3226F" w:rsidP="00CB5559">
            <w:pPr>
              <w:keepNext/>
              <w:spacing w:after="0"/>
              <w:rPr>
                <w:sz w:val="20"/>
              </w:rPr>
            </w:pPr>
          </w:p>
        </w:tc>
      </w:tr>
      <w:tr w:rsidR="00E3226F" w:rsidRPr="0072709A" w14:paraId="3A6FB654" w14:textId="77777777" w:rsidTr="00CB5559">
        <w:trPr>
          <w:cantSplit/>
        </w:trPr>
        <w:tc>
          <w:tcPr>
            <w:tcW w:w="3296" w:type="pct"/>
            <w:gridSpan w:val="7"/>
            <w:tcBorders>
              <w:top w:val="nil"/>
              <w:left w:val="nil"/>
              <w:bottom w:val="double" w:sz="4" w:space="0" w:color="auto"/>
              <w:right w:val="nil"/>
            </w:tcBorders>
            <w:shd w:val="clear" w:color="auto" w:fill="auto"/>
            <w:noWrap/>
            <w:vAlign w:val="bottom"/>
            <w:hideMark/>
          </w:tcPr>
          <w:p w14:paraId="58FF2976" w14:textId="77777777" w:rsidR="00E3226F" w:rsidRPr="0072709A" w:rsidRDefault="00E3226F" w:rsidP="00CB5559">
            <w:pPr>
              <w:keepNext/>
              <w:spacing w:after="0"/>
              <w:rPr>
                <w:sz w:val="20"/>
              </w:rPr>
            </w:pPr>
            <w:r>
              <w:rPr>
                <w:b/>
                <w:sz w:val="20"/>
              </w:rPr>
              <w:t>Model 2.2,</w:t>
            </w:r>
            <w:r w:rsidRPr="0072709A">
              <w:rPr>
                <w:b/>
                <w:sz w:val="20"/>
              </w:rPr>
              <w:t xml:space="preserve"> </w:t>
            </w:r>
            <w:r>
              <w:rPr>
                <w:b/>
                <w:sz w:val="20"/>
              </w:rPr>
              <w:t>s</w:t>
            </w:r>
            <w:r w:rsidRPr="0072709A">
              <w:rPr>
                <w:b/>
                <w:sz w:val="20"/>
              </w:rPr>
              <w:t>teep</w:t>
            </w:r>
            <w:r>
              <w:rPr>
                <w:b/>
                <w:sz w:val="20"/>
              </w:rPr>
              <w:t>ness=0.65, recruitment from 1970</w:t>
            </w:r>
            <w:r w:rsidRPr="0072709A">
              <w:rPr>
                <w:b/>
                <w:sz w:val="20"/>
              </w:rPr>
              <w:t>-201</w:t>
            </w:r>
            <w:r>
              <w:rPr>
                <w:b/>
                <w:sz w:val="20"/>
              </w:rPr>
              <w:t>2</w:t>
            </w:r>
          </w:p>
        </w:tc>
        <w:tc>
          <w:tcPr>
            <w:tcW w:w="724" w:type="pct"/>
            <w:tcBorders>
              <w:top w:val="nil"/>
              <w:left w:val="nil"/>
              <w:bottom w:val="double" w:sz="4" w:space="0" w:color="auto"/>
              <w:right w:val="nil"/>
            </w:tcBorders>
            <w:shd w:val="clear" w:color="auto" w:fill="auto"/>
            <w:noWrap/>
            <w:vAlign w:val="bottom"/>
            <w:hideMark/>
          </w:tcPr>
          <w:p w14:paraId="4FE672F3" w14:textId="77777777" w:rsidR="00E3226F" w:rsidRPr="0072709A" w:rsidRDefault="00E3226F" w:rsidP="00CB5559">
            <w:pPr>
              <w:keepNext/>
              <w:spacing w:after="0"/>
              <w:rPr>
                <w:sz w:val="20"/>
              </w:rPr>
            </w:pPr>
          </w:p>
        </w:tc>
        <w:tc>
          <w:tcPr>
            <w:tcW w:w="490" w:type="pct"/>
            <w:tcBorders>
              <w:top w:val="nil"/>
              <w:left w:val="nil"/>
              <w:bottom w:val="double" w:sz="4" w:space="0" w:color="auto"/>
              <w:right w:val="nil"/>
            </w:tcBorders>
            <w:shd w:val="clear" w:color="auto" w:fill="auto"/>
            <w:noWrap/>
            <w:vAlign w:val="bottom"/>
            <w:hideMark/>
          </w:tcPr>
          <w:p w14:paraId="56D4C15F" w14:textId="77777777" w:rsidR="00E3226F" w:rsidRPr="0072709A" w:rsidRDefault="00E3226F" w:rsidP="00CB5559">
            <w:pPr>
              <w:keepNext/>
              <w:spacing w:after="0"/>
              <w:rPr>
                <w:sz w:val="20"/>
              </w:rPr>
            </w:pPr>
          </w:p>
        </w:tc>
        <w:tc>
          <w:tcPr>
            <w:tcW w:w="490" w:type="pct"/>
            <w:tcBorders>
              <w:top w:val="nil"/>
              <w:left w:val="nil"/>
              <w:bottom w:val="double" w:sz="4" w:space="0" w:color="auto"/>
              <w:right w:val="nil"/>
            </w:tcBorders>
            <w:shd w:val="clear" w:color="auto" w:fill="auto"/>
            <w:noWrap/>
            <w:vAlign w:val="bottom"/>
            <w:hideMark/>
          </w:tcPr>
          <w:p w14:paraId="3B0B4556" w14:textId="77777777" w:rsidR="00E3226F" w:rsidRPr="0072709A" w:rsidRDefault="00E3226F" w:rsidP="00CB5559">
            <w:pPr>
              <w:keepNext/>
              <w:spacing w:after="0"/>
              <w:rPr>
                <w:sz w:val="20"/>
              </w:rPr>
            </w:pPr>
          </w:p>
        </w:tc>
      </w:tr>
      <w:tr w:rsidR="00E3226F" w:rsidRPr="0072709A" w14:paraId="49FF8981" w14:textId="77777777" w:rsidTr="00CB5559">
        <w:trPr>
          <w:cantSplit/>
        </w:trPr>
        <w:tc>
          <w:tcPr>
            <w:tcW w:w="662" w:type="pct"/>
            <w:tcBorders>
              <w:top w:val="double" w:sz="4" w:space="0" w:color="auto"/>
              <w:left w:val="nil"/>
              <w:bottom w:val="single" w:sz="4" w:space="0" w:color="auto"/>
              <w:right w:val="nil"/>
            </w:tcBorders>
            <w:shd w:val="clear" w:color="auto" w:fill="auto"/>
            <w:noWrap/>
            <w:vAlign w:val="bottom"/>
            <w:hideMark/>
          </w:tcPr>
          <w:p w14:paraId="6AB2964B" w14:textId="77777777" w:rsidR="00E3226F" w:rsidRPr="0072709A" w:rsidRDefault="00E3226F" w:rsidP="00CB5559">
            <w:pPr>
              <w:keepNext/>
              <w:spacing w:after="0"/>
              <w:jc w:val="center"/>
              <w:rPr>
                <w:sz w:val="20"/>
              </w:rPr>
            </w:pPr>
            <w:r w:rsidRPr="00E5282C">
              <w:rPr>
                <w:sz w:val="20"/>
              </w:rPr>
              <w:t xml:space="preserve">Multiplier of </w:t>
            </w:r>
            <w:r w:rsidRPr="00E5282C">
              <w:rPr>
                <w:sz w:val="20"/>
              </w:rPr>
              <w:br/>
              <w:t>F</w:t>
            </w:r>
            <w:r w:rsidRPr="00E5282C">
              <w:rPr>
                <w:sz w:val="20"/>
                <w:vertAlign w:val="subscript"/>
              </w:rPr>
              <w:t>201</w:t>
            </w:r>
            <w:r>
              <w:rPr>
                <w:sz w:val="20"/>
                <w:vertAlign w:val="subscript"/>
              </w:rPr>
              <w:t>4</w:t>
            </w:r>
          </w:p>
        </w:tc>
        <w:tc>
          <w:tcPr>
            <w:tcW w:w="339" w:type="pct"/>
            <w:tcBorders>
              <w:top w:val="double" w:sz="4" w:space="0" w:color="auto"/>
              <w:left w:val="nil"/>
              <w:bottom w:val="single" w:sz="4" w:space="0" w:color="auto"/>
              <w:right w:val="nil"/>
            </w:tcBorders>
            <w:shd w:val="clear" w:color="auto" w:fill="auto"/>
            <w:noWrap/>
            <w:vAlign w:val="bottom"/>
            <w:hideMark/>
          </w:tcPr>
          <w:p w14:paraId="603CBD05"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201</w:t>
            </w:r>
            <w:r>
              <w:rPr>
                <w:sz w:val="20"/>
                <w:vertAlign w:val="subscript"/>
              </w:rPr>
              <w:t>6</w:t>
            </w:r>
          </w:p>
        </w:tc>
        <w:tc>
          <w:tcPr>
            <w:tcW w:w="769" w:type="pct"/>
            <w:gridSpan w:val="2"/>
            <w:tcBorders>
              <w:top w:val="double" w:sz="4" w:space="0" w:color="auto"/>
              <w:left w:val="nil"/>
              <w:bottom w:val="single" w:sz="4" w:space="0" w:color="auto"/>
              <w:right w:val="nil"/>
            </w:tcBorders>
            <w:shd w:val="clear" w:color="auto" w:fill="auto"/>
            <w:noWrap/>
            <w:vAlign w:val="bottom"/>
            <w:hideMark/>
          </w:tcPr>
          <w:p w14:paraId="152C59BC"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201</w:t>
            </w:r>
            <w:r>
              <w:rPr>
                <w:sz w:val="20"/>
                <w:vertAlign w:val="subscript"/>
              </w:rPr>
              <w:t>6</w:t>
            </w:r>
            <w:r w:rsidRPr="0072709A">
              <w:rPr>
                <w:sz w:val="20"/>
              </w:rPr>
              <w:t xml:space="preserve"> &gt; </w:t>
            </w:r>
            <w:r w:rsidRPr="0072709A">
              <w:rPr>
                <w:i/>
                <w:sz w:val="20"/>
              </w:rPr>
              <w:t>B</w:t>
            </w:r>
            <w:r>
              <w:rPr>
                <w:i/>
                <w:sz w:val="20"/>
                <w:vertAlign w:val="subscript"/>
              </w:rPr>
              <w:t>MSY</w:t>
            </w:r>
            <w:r w:rsidRPr="0072709A">
              <w:rPr>
                <w:sz w:val="20"/>
              </w:rPr>
              <w:t>)</w:t>
            </w:r>
          </w:p>
        </w:tc>
        <w:tc>
          <w:tcPr>
            <w:tcW w:w="403" w:type="pct"/>
            <w:tcBorders>
              <w:top w:val="double" w:sz="4" w:space="0" w:color="auto"/>
              <w:left w:val="nil"/>
              <w:bottom w:val="single" w:sz="4" w:space="0" w:color="auto"/>
              <w:right w:val="nil"/>
            </w:tcBorders>
            <w:shd w:val="clear" w:color="auto" w:fill="auto"/>
            <w:noWrap/>
            <w:vAlign w:val="bottom"/>
            <w:hideMark/>
          </w:tcPr>
          <w:p w14:paraId="617B50DE"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202</w:t>
            </w:r>
            <w:r>
              <w:rPr>
                <w:sz w:val="20"/>
                <w:vertAlign w:val="subscript"/>
              </w:rPr>
              <w:t>4</w:t>
            </w:r>
          </w:p>
        </w:tc>
        <w:tc>
          <w:tcPr>
            <w:tcW w:w="719" w:type="pct"/>
            <w:tcBorders>
              <w:top w:val="double" w:sz="4" w:space="0" w:color="auto"/>
              <w:left w:val="nil"/>
              <w:bottom w:val="single" w:sz="4" w:space="0" w:color="auto"/>
              <w:right w:val="nil"/>
            </w:tcBorders>
            <w:shd w:val="clear" w:color="auto" w:fill="auto"/>
            <w:noWrap/>
            <w:vAlign w:val="bottom"/>
            <w:hideMark/>
          </w:tcPr>
          <w:p w14:paraId="52DA511A"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202</w:t>
            </w:r>
            <w:r>
              <w:rPr>
                <w:sz w:val="20"/>
                <w:vertAlign w:val="subscript"/>
              </w:rPr>
              <w:t>4</w:t>
            </w:r>
            <w:r w:rsidRPr="0072709A">
              <w:rPr>
                <w:sz w:val="20"/>
              </w:rPr>
              <w:t xml:space="preserve"> &gt; </w:t>
            </w:r>
            <w:r w:rsidRPr="0072709A">
              <w:rPr>
                <w:i/>
                <w:sz w:val="20"/>
              </w:rPr>
              <w:t>B</w:t>
            </w:r>
            <w:r>
              <w:rPr>
                <w:i/>
                <w:sz w:val="20"/>
                <w:vertAlign w:val="subscript"/>
              </w:rPr>
              <w:t>MSY</w:t>
            </w:r>
            <w:r w:rsidRPr="0072709A">
              <w:rPr>
                <w:sz w:val="20"/>
              </w:rPr>
              <w:t>)</w:t>
            </w:r>
          </w:p>
        </w:tc>
        <w:tc>
          <w:tcPr>
            <w:tcW w:w="403" w:type="pct"/>
            <w:tcBorders>
              <w:top w:val="double" w:sz="4" w:space="0" w:color="auto"/>
              <w:left w:val="nil"/>
              <w:bottom w:val="single" w:sz="4" w:space="0" w:color="auto"/>
              <w:right w:val="nil"/>
            </w:tcBorders>
            <w:shd w:val="clear" w:color="auto" w:fill="auto"/>
            <w:noWrap/>
            <w:vAlign w:val="bottom"/>
            <w:hideMark/>
          </w:tcPr>
          <w:p w14:paraId="1C664756" w14:textId="77777777" w:rsidR="00E3226F" w:rsidRPr="0072709A" w:rsidRDefault="00E3226F" w:rsidP="00CB5559">
            <w:pPr>
              <w:keepNext/>
              <w:spacing w:after="0"/>
              <w:jc w:val="right"/>
              <w:rPr>
                <w:sz w:val="20"/>
              </w:rPr>
            </w:pPr>
            <w:r w:rsidRPr="0072709A">
              <w:rPr>
                <w:sz w:val="20"/>
              </w:rPr>
              <w:t>B</w:t>
            </w:r>
            <w:r w:rsidRPr="0072709A">
              <w:rPr>
                <w:sz w:val="20"/>
                <w:vertAlign w:val="subscript"/>
              </w:rPr>
              <w:t>203</w:t>
            </w:r>
            <w:r>
              <w:rPr>
                <w:sz w:val="20"/>
                <w:vertAlign w:val="subscript"/>
              </w:rPr>
              <w:t>4</w:t>
            </w:r>
          </w:p>
        </w:tc>
        <w:tc>
          <w:tcPr>
            <w:tcW w:w="724" w:type="pct"/>
            <w:tcBorders>
              <w:top w:val="double" w:sz="4" w:space="0" w:color="auto"/>
              <w:left w:val="nil"/>
              <w:bottom w:val="single" w:sz="4" w:space="0" w:color="auto"/>
              <w:right w:val="nil"/>
            </w:tcBorders>
            <w:shd w:val="clear" w:color="auto" w:fill="auto"/>
            <w:noWrap/>
            <w:vAlign w:val="bottom"/>
            <w:hideMark/>
          </w:tcPr>
          <w:p w14:paraId="1ACB6F82" w14:textId="77777777" w:rsidR="00E3226F" w:rsidRPr="0072709A" w:rsidRDefault="00E3226F" w:rsidP="00CB5559">
            <w:pPr>
              <w:keepNext/>
              <w:spacing w:after="0"/>
              <w:jc w:val="right"/>
              <w:rPr>
                <w:sz w:val="20"/>
              </w:rPr>
            </w:pPr>
            <w:r w:rsidRPr="0072709A">
              <w:rPr>
                <w:sz w:val="20"/>
              </w:rPr>
              <w:t>P(B</w:t>
            </w:r>
            <w:r w:rsidRPr="0072709A">
              <w:rPr>
                <w:sz w:val="20"/>
                <w:vertAlign w:val="subscript"/>
              </w:rPr>
              <w:t>203</w:t>
            </w:r>
            <w:r>
              <w:rPr>
                <w:sz w:val="20"/>
                <w:vertAlign w:val="subscript"/>
              </w:rPr>
              <w:t>4</w:t>
            </w:r>
            <w:r w:rsidRPr="0072709A">
              <w:rPr>
                <w:sz w:val="20"/>
              </w:rPr>
              <w:t xml:space="preserve"> &gt; </w:t>
            </w:r>
            <w:r w:rsidRPr="0072709A">
              <w:rPr>
                <w:i/>
                <w:sz w:val="20"/>
              </w:rPr>
              <w:t>B</w:t>
            </w:r>
            <w:r>
              <w:rPr>
                <w:i/>
                <w:sz w:val="20"/>
                <w:vertAlign w:val="subscript"/>
              </w:rPr>
              <w:t>MSY</w:t>
            </w:r>
            <w:r w:rsidRPr="0072709A">
              <w:rPr>
                <w:sz w:val="20"/>
              </w:rPr>
              <w:t>)</w:t>
            </w:r>
          </w:p>
        </w:tc>
        <w:tc>
          <w:tcPr>
            <w:tcW w:w="490" w:type="pct"/>
            <w:tcBorders>
              <w:top w:val="double" w:sz="4" w:space="0" w:color="auto"/>
              <w:left w:val="nil"/>
              <w:bottom w:val="single" w:sz="4" w:space="0" w:color="auto"/>
              <w:right w:val="nil"/>
            </w:tcBorders>
            <w:shd w:val="clear" w:color="auto" w:fill="auto"/>
            <w:noWrap/>
            <w:vAlign w:val="bottom"/>
            <w:hideMark/>
          </w:tcPr>
          <w:p w14:paraId="098189B9" w14:textId="77777777" w:rsidR="00E3226F" w:rsidRPr="0072709A" w:rsidRDefault="00E3226F" w:rsidP="00CB5559">
            <w:pPr>
              <w:keepNext/>
              <w:spacing w:after="0"/>
              <w:jc w:val="right"/>
              <w:rPr>
                <w:sz w:val="20"/>
              </w:rPr>
            </w:pPr>
            <w:r w:rsidRPr="0072709A">
              <w:rPr>
                <w:sz w:val="20"/>
              </w:rPr>
              <w:t xml:space="preserve">Catch </w:t>
            </w:r>
            <w:r>
              <w:rPr>
                <w:sz w:val="20"/>
              </w:rPr>
              <w:br/>
              <w:t>2015 (kt)</w:t>
            </w:r>
          </w:p>
        </w:tc>
        <w:tc>
          <w:tcPr>
            <w:tcW w:w="490" w:type="pct"/>
            <w:tcBorders>
              <w:top w:val="double" w:sz="4" w:space="0" w:color="auto"/>
              <w:left w:val="nil"/>
              <w:bottom w:val="single" w:sz="4" w:space="0" w:color="auto"/>
              <w:right w:val="nil"/>
            </w:tcBorders>
            <w:shd w:val="clear" w:color="auto" w:fill="auto"/>
            <w:noWrap/>
            <w:vAlign w:val="bottom"/>
            <w:hideMark/>
          </w:tcPr>
          <w:p w14:paraId="498D3A39" w14:textId="77777777" w:rsidR="00E3226F" w:rsidRPr="0072709A" w:rsidRDefault="00E3226F" w:rsidP="00CB5559">
            <w:pPr>
              <w:keepNext/>
              <w:spacing w:after="0"/>
              <w:jc w:val="right"/>
              <w:rPr>
                <w:sz w:val="20"/>
              </w:rPr>
            </w:pPr>
            <w:r w:rsidRPr="0072709A">
              <w:rPr>
                <w:sz w:val="20"/>
              </w:rPr>
              <w:t xml:space="preserve">Catch </w:t>
            </w:r>
            <w:r>
              <w:rPr>
                <w:sz w:val="20"/>
              </w:rPr>
              <w:br/>
            </w:r>
            <w:r w:rsidRPr="0072709A">
              <w:rPr>
                <w:sz w:val="20"/>
              </w:rPr>
              <w:t>201</w:t>
            </w:r>
            <w:r>
              <w:rPr>
                <w:sz w:val="20"/>
              </w:rPr>
              <w:t>6 (kt)</w:t>
            </w:r>
          </w:p>
        </w:tc>
      </w:tr>
      <w:tr w:rsidR="00E3226F" w:rsidRPr="0072709A" w14:paraId="3D611B18" w14:textId="77777777" w:rsidTr="00CB5559">
        <w:trPr>
          <w:cantSplit/>
        </w:trPr>
        <w:tc>
          <w:tcPr>
            <w:tcW w:w="662" w:type="pct"/>
            <w:tcBorders>
              <w:top w:val="single" w:sz="4" w:space="0" w:color="auto"/>
              <w:left w:val="nil"/>
              <w:bottom w:val="nil"/>
              <w:right w:val="nil"/>
            </w:tcBorders>
            <w:shd w:val="clear" w:color="auto" w:fill="auto"/>
            <w:noWrap/>
            <w:vAlign w:val="bottom"/>
            <w:hideMark/>
          </w:tcPr>
          <w:p w14:paraId="6B4AE9CF" w14:textId="77777777" w:rsidR="00E3226F" w:rsidRPr="0072709A" w:rsidRDefault="00E3226F" w:rsidP="00CB5559">
            <w:pPr>
              <w:keepNext/>
              <w:spacing w:after="0"/>
              <w:jc w:val="center"/>
              <w:rPr>
                <w:sz w:val="20"/>
              </w:rPr>
            </w:pPr>
            <w:r w:rsidRPr="0072709A">
              <w:rPr>
                <w:sz w:val="20"/>
              </w:rPr>
              <w:t>0.00</w:t>
            </w:r>
          </w:p>
        </w:tc>
        <w:tc>
          <w:tcPr>
            <w:tcW w:w="339" w:type="pct"/>
            <w:tcBorders>
              <w:top w:val="single" w:sz="4" w:space="0" w:color="auto"/>
              <w:left w:val="nil"/>
              <w:bottom w:val="nil"/>
              <w:right w:val="nil"/>
            </w:tcBorders>
            <w:shd w:val="clear" w:color="auto" w:fill="auto"/>
            <w:noWrap/>
            <w:vAlign w:val="center"/>
            <w:hideMark/>
          </w:tcPr>
          <w:p w14:paraId="33F8A322" w14:textId="77777777" w:rsidR="00E3226F" w:rsidRPr="0072709A" w:rsidRDefault="00E3226F" w:rsidP="00CB5559">
            <w:pPr>
              <w:keepNext/>
              <w:spacing w:after="0"/>
              <w:jc w:val="right"/>
              <w:rPr>
                <w:sz w:val="20"/>
              </w:rPr>
            </w:pPr>
            <w:r>
              <w:rPr>
                <w:rFonts w:eastAsia="Times New Roman" w:cs="Times New Roman"/>
              </w:rPr>
              <w:t>4,434</w:t>
            </w:r>
          </w:p>
        </w:tc>
        <w:tc>
          <w:tcPr>
            <w:tcW w:w="769" w:type="pct"/>
            <w:gridSpan w:val="2"/>
            <w:tcBorders>
              <w:top w:val="single" w:sz="4" w:space="0" w:color="auto"/>
              <w:left w:val="nil"/>
              <w:bottom w:val="nil"/>
              <w:right w:val="nil"/>
            </w:tcBorders>
            <w:shd w:val="clear" w:color="auto" w:fill="auto"/>
            <w:noWrap/>
            <w:vAlign w:val="bottom"/>
            <w:hideMark/>
          </w:tcPr>
          <w:p w14:paraId="64972FC8" w14:textId="77777777" w:rsidR="00E3226F" w:rsidRPr="0072709A" w:rsidRDefault="00E3226F" w:rsidP="00CB5559">
            <w:pPr>
              <w:keepNext/>
              <w:spacing w:after="0"/>
              <w:jc w:val="right"/>
              <w:rPr>
                <w:sz w:val="20"/>
              </w:rPr>
            </w:pPr>
            <w:r>
              <w:rPr>
                <w:rFonts w:eastAsia="Times New Roman" w:cs="Times New Roman"/>
                <w:sz w:val="24"/>
                <w:szCs w:val="24"/>
              </w:rPr>
              <w:t>2%</w:t>
            </w:r>
          </w:p>
        </w:tc>
        <w:tc>
          <w:tcPr>
            <w:tcW w:w="403" w:type="pct"/>
            <w:tcBorders>
              <w:top w:val="single" w:sz="4" w:space="0" w:color="auto"/>
              <w:left w:val="nil"/>
              <w:bottom w:val="nil"/>
              <w:right w:val="nil"/>
            </w:tcBorders>
            <w:shd w:val="clear" w:color="auto" w:fill="auto"/>
            <w:noWrap/>
            <w:vAlign w:val="center"/>
            <w:hideMark/>
          </w:tcPr>
          <w:p w14:paraId="17110318" w14:textId="77777777" w:rsidR="00E3226F" w:rsidRPr="0072709A" w:rsidRDefault="00E3226F" w:rsidP="00CB5559">
            <w:pPr>
              <w:keepNext/>
              <w:spacing w:after="0"/>
              <w:jc w:val="right"/>
              <w:rPr>
                <w:sz w:val="20"/>
              </w:rPr>
            </w:pPr>
            <w:r>
              <w:rPr>
                <w:rFonts w:eastAsia="Times New Roman" w:cs="Times New Roman"/>
              </w:rPr>
              <w:t>11,891</w:t>
            </w:r>
          </w:p>
        </w:tc>
        <w:tc>
          <w:tcPr>
            <w:tcW w:w="719" w:type="pct"/>
            <w:tcBorders>
              <w:top w:val="single" w:sz="4" w:space="0" w:color="auto"/>
              <w:left w:val="nil"/>
              <w:bottom w:val="nil"/>
              <w:right w:val="nil"/>
            </w:tcBorders>
            <w:shd w:val="clear" w:color="auto" w:fill="auto"/>
            <w:noWrap/>
            <w:vAlign w:val="bottom"/>
            <w:hideMark/>
          </w:tcPr>
          <w:p w14:paraId="02B077BB" w14:textId="77777777" w:rsidR="00E3226F" w:rsidRPr="0072709A" w:rsidRDefault="00E3226F" w:rsidP="00CB5559">
            <w:pPr>
              <w:keepNext/>
              <w:spacing w:after="0"/>
              <w:jc w:val="right"/>
              <w:rPr>
                <w:sz w:val="20"/>
              </w:rPr>
            </w:pPr>
            <w:r>
              <w:rPr>
                <w:rFonts w:eastAsia="Times New Roman" w:cs="Times New Roman"/>
                <w:sz w:val="24"/>
                <w:szCs w:val="24"/>
              </w:rPr>
              <w:t>100%</w:t>
            </w:r>
          </w:p>
        </w:tc>
        <w:tc>
          <w:tcPr>
            <w:tcW w:w="403" w:type="pct"/>
            <w:tcBorders>
              <w:top w:val="single" w:sz="4" w:space="0" w:color="auto"/>
              <w:left w:val="nil"/>
              <w:bottom w:val="nil"/>
              <w:right w:val="nil"/>
            </w:tcBorders>
            <w:shd w:val="clear" w:color="auto" w:fill="auto"/>
            <w:noWrap/>
            <w:vAlign w:val="center"/>
            <w:hideMark/>
          </w:tcPr>
          <w:p w14:paraId="46EDE367" w14:textId="77777777" w:rsidR="00E3226F" w:rsidRPr="0072709A" w:rsidRDefault="00E3226F" w:rsidP="00CB5559">
            <w:pPr>
              <w:keepNext/>
              <w:spacing w:after="0"/>
              <w:jc w:val="right"/>
              <w:rPr>
                <w:sz w:val="20"/>
              </w:rPr>
            </w:pPr>
            <w:r>
              <w:rPr>
                <w:rFonts w:eastAsia="Times New Roman" w:cs="Times New Roman"/>
              </w:rPr>
              <w:t>18,612</w:t>
            </w:r>
          </w:p>
        </w:tc>
        <w:tc>
          <w:tcPr>
            <w:tcW w:w="724" w:type="pct"/>
            <w:tcBorders>
              <w:top w:val="single" w:sz="4" w:space="0" w:color="auto"/>
              <w:left w:val="nil"/>
              <w:bottom w:val="nil"/>
              <w:right w:val="nil"/>
            </w:tcBorders>
            <w:shd w:val="clear" w:color="auto" w:fill="auto"/>
            <w:noWrap/>
            <w:vAlign w:val="bottom"/>
            <w:hideMark/>
          </w:tcPr>
          <w:p w14:paraId="2F39AF2D" w14:textId="77777777" w:rsidR="00E3226F" w:rsidRPr="0072709A" w:rsidRDefault="00E3226F" w:rsidP="00CB5559">
            <w:pPr>
              <w:keepNext/>
              <w:spacing w:after="0"/>
              <w:jc w:val="right"/>
              <w:rPr>
                <w:sz w:val="20"/>
              </w:rPr>
            </w:pPr>
            <w:r>
              <w:rPr>
                <w:rFonts w:eastAsia="Times New Roman" w:cs="Times New Roman"/>
                <w:sz w:val="24"/>
                <w:szCs w:val="24"/>
              </w:rPr>
              <w:t>100%</w:t>
            </w:r>
          </w:p>
        </w:tc>
        <w:tc>
          <w:tcPr>
            <w:tcW w:w="490" w:type="pct"/>
            <w:tcBorders>
              <w:top w:val="single" w:sz="4" w:space="0" w:color="auto"/>
              <w:left w:val="nil"/>
              <w:bottom w:val="nil"/>
              <w:right w:val="nil"/>
            </w:tcBorders>
            <w:shd w:val="clear" w:color="auto" w:fill="auto"/>
            <w:noWrap/>
            <w:vAlign w:val="bottom"/>
            <w:hideMark/>
          </w:tcPr>
          <w:p w14:paraId="53022A23" w14:textId="77777777" w:rsidR="00E3226F" w:rsidRPr="0072709A" w:rsidRDefault="00E3226F" w:rsidP="00CB5559">
            <w:pPr>
              <w:keepNext/>
              <w:spacing w:after="0"/>
              <w:jc w:val="right"/>
              <w:rPr>
                <w:sz w:val="20"/>
              </w:rPr>
            </w:pPr>
            <w:r w:rsidRPr="006E5612">
              <w:t>0</w:t>
            </w:r>
          </w:p>
        </w:tc>
        <w:tc>
          <w:tcPr>
            <w:tcW w:w="490" w:type="pct"/>
            <w:tcBorders>
              <w:top w:val="single" w:sz="4" w:space="0" w:color="auto"/>
              <w:left w:val="nil"/>
              <w:bottom w:val="nil"/>
              <w:right w:val="nil"/>
            </w:tcBorders>
            <w:shd w:val="clear" w:color="auto" w:fill="auto"/>
            <w:noWrap/>
            <w:vAlign w:val="bottom"/>
            <w:hideMark/>
          </w:tcPr>
          <w:p w14:paraId="151763EC" w14:textId="77777777" w:rsidR="00E3226F" w:rsidRPr="0072709A" w:rsidRDefault="00E3226F" w:rsidP="00CB5559">
            <w:pPr>
              <w:keepNext/>
              <w:spacing w:after="0"/>
              <w:jc w:val="right"/>
              <w:rPr>
                <w:sz w:val="20"/>
              </w:rPr>
            </w:pPr>
            <w:r w:rsidRPr="006E5612">
              <w:t>0</w:t>
            </w:r>
          </w:p>
        </w:tc>
      </w:tr>
      <w:tr w:rsidR="00E3226F" w:rsidRPr="0072709A" w14:paraId="1876CA4E" w14:textId="77777777" w:rsidTr="00CB5559">
        <w:trPr>
          <w:cantSplit/>
        </w:trPr>
        <w:tc>
          <w:tcPr>
            <w:tcW w:w="662" w:type="pct"/>
            <w:tcBorders>
              <w:top w:val="nil"/>
              <w:left w:val="nil"/>
              <w:bottom w:val="nil"/>
              <w:right w:val="nil"/>
            </w:tcBorders>
            <w:shd w:val="clear" w:color="auto" w:fill="auto"/>
            <w:noWrap/>
            <w:vAlign w:val="bottom"/>
          </w:tcPr>
          <w:p w14:paraId="515930B3" w14:textId="77777777" w:rsidR="00E3226F" w:rsidRPr="0072709A" w:rsidRDefault="00E3226F" w:rsidP="00CB5559">
            <w:pPr>
              <w:keepNext/>
              <w:spacing w:after="0"/>
              <w:jc w:val="center"/>
              <w:rPr>
                <w:sz w:val="20"/>
              </w:rPr>
            </w:pPr>
            <w:r>
              <w:rPr>
                <w:sz w:val="20"/>
              </w:rPr>
              <w:t>0.50</w:t>
            </w:r>
          </w:p>
        </w:tc>
        <w:tc>
          <w:tcPr>
            <w:tcW w:w="339" w:type="pct"/>
            <w:tcBorders>
              <w:top w:val="nil"/>
              <w:left w:val="nil"/>
              <w:bottom w:val="nil"/>
              <w:right w:val="nil"/>
            </w:tcBorders>
            <w:shd w:val="clear" w:color="auto" w:fill="auto"/>
            <w:noWrap/>
            <w:vAlign w:val="center"/>
          </w:tcPr>
          <w:p w14:paraId="65AE19B8" w14:textId="77777777" w:rsidR="00E3226F" w:rsidRPr="0072709A" w:rsidRDefault="00E3226F" w:rsidP="00CB5559">
            <w:pPr>
              <w:keepNext/>
              <w:spacing w:after="0"/>
              <w:jc w:val="right"/>
              <w:rPr>
                <w:sz w:val="20"/>
              </w:rPr>
            </w:pPr>
            <w:r>
              <w:rPr>
                <w:rFonts w:eastAsia="Times New Roman" w:cs="Times New Roman"/>
              </w:rPr>
              <w:t>4,109</w:t>
            </w:r>
          </w:p>
        </w:tc>
        <w:tc>
          <w:tcPr>
            <w:tcW w:w="769" w:type="pct"/>
            <w:gridSpan w:val="2"/>
            <w:tcBorders>
              <w:top w:val="nil"/>
              <w:left w:val="nil"/>
              <w:bottom w:val="nil"/>
              <w:right w:val="nil"/>
            </w:tcBorders>
            <w:shd w:val="clear" w:color="auto" w:fill="auto"/>
            <w:noWrap/>
            <w:vAlign w:val="bottom"/>
          </w:tcPr>
          <w:p w14:paraId="631D87C0" w14:textId="77777777" w:rsidR="00E3226F" w:rsidRPr="0072709A" w:rsidRDefault="00E3226F" w:rsidP="00CB5559">
            <w:pPr>
              <w:keepNext/>
              <w:spacing w:after="0"/>
              <w:jc w:val="right"/>
              <w:rPr>
                <w:sz w:val="20"/>
              </w:rPr>
            </w:pPr>
            <w:r>
              <w:rPr>
                <w:rFonts w:eastAsia="Times New Roman" w:cs="Times New Roman"/>
                <w:sz w:val="24"/>
                <w:szCs w:val="24"/>
              </w:rPr>
              <w:t>0%</w:t>
            </w:r>
          </w:p>
        </w:tc>
        <w:tc>
          <w:tcPr>
            <w:tcW w:w="403" w:type="pct"/>
            <w:tcBorders>
              <w:top w:val="nil"/>
              <w:left w:val="nil"/>
              <w:bottom w:val="nil"/>
              <w:right w:val="nil"/>
            </w:tcBorders>
            <w:shd w:val="clear" w:color="auto" w:fill="auto"/>
            <w:noWrap/>
            <w:vAlign w:val="center"/>
          </w:tcPr>
          <w:p w14:paraId="7EEDBDC4" w14:textId="77777777" w:rsidR="00E3226F" w:rsidRPr="0072709A" w:rsidRDefault="00E3226F" w:rsidP="00CB5559">
            <w:pPr>
              <w:keepNext/>
              <w:spacing w:after="0"/>
              <w:jc w:val="right"/>
              <w:rPr>
                <w:sz w:val="20"/>
              </w:rPr>
            </w:pPr>
            <w:r>
              <w:rPr>
                <w:rFonts w:eastAsia="Times New Roman" w:cs="Times New Roman"/>
              </w:rPr>
              <w:t>8,468</w:t>
            </w:r>
          </w:p>
        </w:tc>
        <w:tc>
          <w:tcPr>
            <w:tcW w:w="719" w:type="pct"/>
            <w:tcBorders>
              <w:top w:val="nil"/>
              <w:left w:val="nil"/>
              <w:bottom w:val="nil"/>
              <w:right w:val="nil"/>
            </w:tcBorders>
            <w:shd w:val="clear" w:color="auto" w:fill="auto"/>
            <w:noWrap/>
            <w:vAlign w:val="bottom"/>
          </w:tcPr>
          <w:p w14:paraId="0196136D" w14:textId="77777777" w:rsidR="00E3226F" w:rsidRPr="0072709A" w:rsidRDefault="00E3226F" w:rsidP="00CB5559">
            <w:pPr>
              <w:keepNext/>
              <w:spacing w:after="0"/>
              <w:jc w:val="right"/>
              <w:rPr>
                <w:sz w:val="20"/>
              </w:rPr>
            </w:pPr>
            <w:r>
              <w:rPr>
                <w:rFonts w:eastAsia="Times New Roman" w:cs="Times New Roman"/>
                <w:sz w:val="24"/>
                <w:szCs w:val="24"/>
              </w:rPr>
              <w:t>95%</w:t>
            </w:r>
          </w:p>
        </w:tc>
        <w:tc>
          <w:tcPr>
            <w:tcW w:w="403" w:type="pct"/>
            <w:tcBorders>
              <w:top w:val="nil"/>
              <w:left w:val="nil"/>
              <w:bottom w:val="nil"/>
              <w:right w:val="nil"/>
            </w:tcBorders>
            <w:shd w:val="clear" w:color="auto" w:fill="auto"/>
            <w:noWrap/>
            <w:vAlign w:val="center"/>
          </w:tcPr>
          <w:p w14:paraId="7573DC97" w14:textId="77777777" w:rsidR="00E3226F" w:rsidRPr="0072709A" w:rsidRDefault="00E3226F" w:rsidP="00CB5559">
            <w:pPr>
              <w:keepNext/>
              <w:spacing w:after="0"/>
              <w:jc w:val="right"/>
              <w:rPr>
                <w:sz w:val="20"/>
              </w:rPr>
            </w:pPr>
            <w:r>
              <w:rPr>
                <w:rFonts w:eastAsia="Times New Roman" w:cs="Times New Roman"/>
              </w:rPr>
              <w:t>11,427</w:t>
            </w:r>
          </w:p>
        </w:tc>
        <w:tc>
          <w:tcPr>
            <w:tcW w:w="724" w:type="pct"/>
            <w:tcBorders>
              <w:top w:val="nil"/>
              <w:left w:val="nil"/>
              <w:bottom w:val="nil"/>
              <w:right w:val="nil"/>
            </w:tcBorders>
            <w:shd w:val="clear" w:color="auto" w:fill="auto"/>
            <w:noWrap/>
            <w:vAlign w:val="bottom"/>
          </w:tcPr>
          <w:p w14:paraId="78E27C32" w14:textId="77777777" w:rsidR="00E3226F" w:rsidRPr="0072709A" w:rsidRDefault="00E3226F" w:rsidP="00CB5559">
            <w:pPr>
              <w:keepNext/>
              <w:spacing w:after="0"/>
              <w:jc w:val="right"/>
              <w:rPr>
                <w:sz w:val="20"/>
              </w:rPr>
            </w:pPr>
            <w:r>
              <w:rPr>
                <w:rFonts w:eastAsia="Times New Roman" w:cs="Times New Roman"/>
                <w:sz w:val="24"/>
                <w:szCs w:val="24"/>
              </w:rPr>
              <w:t>95%</w:t>
            </w:r>
          </w:p>
        </w:tc>
        <w:tc>
          <w:tcPr>
            <w:tcW w:w="490" w:type="pct"/>
            <w:tcBorders>
              <w:top w:val="nil"/>
              <w:left w:val="nil"/>
              <w:bottom w:val="nil"/>
              <w:right w:val="nil"/>
            </w:tcBorders>
            <w:shd w:val="clear" w:color="auto" w:fill="auto"/>
            <w:noWrap/>
            <w:vAlign w:val="bottom"/>
          </w:tcPr>
          <w:p w14:paraId="23C392C3" w14:textId="77777777" w:rsidR="00E3226F" w:rsidRPr="0072709A" w:rsidRDefault="00E3226F" w:rsidP="00CB5559">
            <w:pPr>
              <w:keepNext/>
              <w:spacing w:after="0"/>
              <w:jc w:val="right"/>
              <w:rPr>
                <w:sz w:val="20"/>
              </w:rPr>
            </w:pPr>
            <w:r w:rsidRPr="006E5612">
              <w:t>240</w:t>
            </w:r>
          </w:p>
        </w:tc>
        <w:tc>
          <w:tcPr>
            <w:tcW w:w="490" w:type="pct"/>
            <w:tcBorders>
              <w:top w:val="nil"/>
              <w:left w:val="nil"/>
              <w:bottom w:val="nil"/>
              <w:right w:val="nil"/>
            </w:tcBorders>
            <w:shd w:val="clear" w:color="auto" w:fill="auto"/>
            <w:noWrap/>
            <w:vAlign w:val="bottom"/>
          </w:tcPr>
          <w:p w14:paraId="20E1FB6A" w14:textId="77777777" w:rsidR="00E3226F" w:rsidRPr="0072709A" w:rsidRDefault="00E3226F" w:rsidP="00CB5559">
            <w:pPr>
              <w:keepNext/>
              <w:spacing w:after="0"/>
              <w:jc w:val="right"/>
              <w:rPr>
                <w:sz w:val="20"/>
              </w:rPr>
            </w:pPr>
            <w:r w:rsidRPr="006E5612">
              <w:t>300</w:t>
            </w:r>
          </w:p>
        </w:tc>
      </w:tr>
      <w:tr w:rsidR="00E3226F" w:rsidRPr="0072709A" w14:paraId="21D3D101" w14:textId="77777777" w:rsidTr="00CB5559">
        <w:trPr>
          <w:cantSplit/>
        </w:trPr>
        <w:tc>
          <w:tcPr>
            <w:tcW w:w="662" w:type="pct"/>
            <w:tcBorders>
              <w:top w:val="nil"/>
              <w:left w:val="nil"/>
              <w:bottom w:val="nil"/>
              <w:right w:val="nil"/>
            </w:tcBorders>
            <w:shd w:val="clear" w:color="auto" w:fill="auto"/>
            <w:noWrap/>
            <w:vAlign w:val="bottom"/>
            <w:hideMark/>
          </w:tcPr>
          <w:p w14:paraId="203BE00A" w14:textId="77777777" w:rsidR="00E3226F" w:rsidRPr="0072709A" w:rsidRDefault="00E3226F" w:rsidP="00CB5559">
            <w:pPr>
              <w:keepNext/>
              <w:spacing w:after="0"/>
              <w:jc w:val="center"/>
              <w:rPr>
                <w:sz w:val="20"/>
              </w:rPr>
            </w:pPr>
            <w:r w:rsidRPr="0072709A">
              <w:rPr>
                <w:sz w:val="20"/>
              </w:rPr>
              <w:t>0.75</w:t>
            </w:r>
          </w:p>
        </w:tc>
        <w:tc>
          <w:tcPr>
            <w:tcW w:w="339" w:type="pct"/>
            <w:tcBorders>
              <w:top w:val="nil"/>
              <w:left w:val="nil"/>
              <w:bottom w:val="nil"/>
              <w:right w:val="nil"/>
            </w:tcBorders>
            <w:shd w:val="clear" w:color="auto" w:fill="auto"/>
            <w:noWrap/>
            <w:vAlign w:val="center"/>
            <w:hideMark/>
          </w:tcPr>
          <w:p w14:paraId="340EA0F9" w14:textId="77777777" w:rsidR="00E3226F" w:rsidRPr="0072709A" w:rsidRDefault="00E3226F" w:rsidP="00CB5559">
            <w:pPr>
              <w:keepNext/>
              <w:spacing w:after="0"/>
              <w:jc w:val="right"/>
              <w:rPr>
                <w:sz w:val="20"/>
              </w:rPr>
            </w:pPr>
            <w:r>
              <w:rPr>
                <w:rFonts w:eastAsia="Times New Roman" w:cs="Times New Roman"/>
              </w:rPr>
              <w:t>3,960</w:t>
            </w:r>
          </w:p>
        </w:tc>
        <w:tc>
          <w:tcPr>
            <w:tcW w:w="769" w:type="pct"/>
            <w:gridSpan w:val="2"/>
            <w:tcBorders>
              <w:top w:val="nil"/>
              <w:left w:val="nil"/>
              <w:bottom w:val="nil"/>
              <w:right w:val="nil"/>
            </w:tcBorders>
            <w:shd w:val="clear" w:color="auto" w:fill="auto"/>
            <w:noWrap/>
            <w:vAlign w:val="bottom"/>
            <w:hideMark/>
          </w:tcPr>
          <w:p w14:paraId="304232EB" w14:textId="77777777" w:rsidR="00E3226F" w:rsidRPr="0072709A" w:rsidRDefault="00E3226F" w:rsidP="00CB5559">
            <w:pPr>
              <w:keepNext/>
              <w:spacing w:after="0"/>
              <w:jc w:val="right"/>
              <w:rPr>
                <w:sz w:val="20"/>
              </w:rPr>
            </w:pPr>
            <w:r>
              <w:rPr>
                <w:rFonts w:eastAsia="Times New Roman" w:cs="Times New Roman"/>
                <w:sz w:val="24"/>
                <w:szCs w:val="24"/>
              </w:rPr>
              <w:t>0%</w:t>
            </w:r>
          </w:p>
        </w:tc>
        <w:tc>
          <w:tcPr>
            <w:tcW w:w="403" w:type="pct"/>
            <w:tcBorders>
              <w:top w:val="nil"/>
              <w:left w:val="nil"/>
              <w:bottom w:val="nil"/>
              <w:right w:val="nil"/>
            </w:tcBorders>
            <w:shd w:val="clear" w:color="auto" w:fill="auto"/>
            <w:noWrap/>
            <w:vAlign w:val="center"/>
            <w:hideMark/>
          </w:tcPr>
          <w:p w14:paraId="76A83FA1" w14:textId="77777777" w:rsidR="00E3226F" w:rsidRPr="0072709A" w:rsidRDefault="00E3226F" w:rsidP="00CB5559">
            <w:pPr>
              <w:keepNext/>
              <w:spacing w:after="0"/>
              <w:jc w:val="right"/>
              <w:rPr>
                <w:sz w:val="20"/>
              </w:rPr>
            </w:pPr>
            <w:r>
              <w:rPr>
                <w:rFonts w:eastAsia="Times New Roman" w:cs="Times New Roman"/>
              </w:rPr>
              <w:t>7,294</w:t>
            </w:r>
          </w:p>
        </w:tc>
        <w:tc>
          <w:tcPr>
            <w:tcW w:w="719" w:type="pct"/>
            <w:tcBorders>
              <w:top w:val="nil"/>
              <w:left w:val="nil"/>
              <w:bottom w:val="nil"/>
              <w:right w:val="nil"/>
            </w:tcBorders>
            <w:shd w:val="clear" w:color="auto" w:fill="auto"/>
            <w:noWrap/>
            <w:vAlign w:val="bottom"/>
            <w:hideMark/>
          </w:tcPr>
          <w:p w14:paraId="2F9DF0A9" w14:textId="77777777" w:rsidR="00E3226F" w:rsidRPr="0072709A" w:rsidRDefault="00E3226F" w:rsidP="00CB5559">
            <w:pPr>
              <w:keepNext/>
              <w:spacing w:after="0"/>
              <w:jc w:val="right"/>
              <w:rPr>
                <w:sz w:val="20"/>
              </w:rPr>
            </w:pPr>
            <w:r>
              <w:rPr>
                <w:rFonts w:eastAsia="Times New Roman" w:cs="Times New Roman"/>
                <w:sz w:val="24"/>
                <w:szCs w:val="24"/>
              </w:rPr>
              <w:t>86%</w:t>
            </w:r>
          </w:p>
        </w:tc>
        <w:tc>
          <w:tcPr>
            <w:tcW w:w="403" w:type="pct"/>
            <w:tcBorders>
              <w:top w:val="nil"/>
              <w:left w:val="nil"/>
              <w:bottom w:val="nil"/>
              <w:right w:val="nil"/>
            </w:tcBorders>
            <w:shd w:val="clear" w:color="auto" w:fill="auto"/>
            <w:noWrap/>
            <w:vAlign w:val="center"/>
            <w:hideMark/>
          </w:tcPr>
          <w:p w14:paraId="59264FE5" w14:textId="77777777" w:rsidR="00E3226F" w:rsidRPr="0072709A" w:rsidRDefault="00E3226F" w:rsidP="00CB5559">
            <w:pPr>
              <w:keepNext/>
              <w:spacing w:after="0"/>
              <w:jc w:val="right"/>
              <w:rPr>
                <w:sz w:val="20"/>
              </w:rPr>
            </w:pPr>
            <w:r>
              <w:rPr>
                <w:rFonts w:eastAsia="Times New Roman" w:cs="Times New Roman"/>
              </w:rPr>
              <w:t>9,342</w:t>
            </w:r>
          </w:p>
        </w:tc>
        <w:tc>
          <w:tcPr>
            <w:tcW w:w="724" w:type="pct"/>
            <w:tcBorders>
              <w:top w:val="nil"/>
              <w:left w:val="nil"/>
              <w:bottom w:val="nil"/>
              <w:right w:val="nil"/>
            </w:tcBorders>
            <w:shd w:val="clear" w:color="auto" w:fill="auto"/>
            <w:noWrap/>
            <w:vAlign w:val="bottom"/>
            <w:hideMark/>
          </w:tcPr>
          <w:p w14:paraId="2DD3EF7D" w14:textId="77777777" w:rsidR="00E3226F" w:rsidRPr="0072709A" w:rsidRDefault="00E3226F" w:rsidP="00CB5559">
            <w:pPr>
              <w:keepNext/>
              <w:spacing w:after="0"/>
              <w:jc w:val="right"/>
              <w:rPr>
                <w:sz w:val="20"/>
              </w:rPr>
            </w:pPr>
            <w:r>
              <w:rPr>
                <w:rFonts w:eastAsia="Times New Roman" w:cs="Times New Roman"/>
                <w:sz w:val="24"/>
                <w:szCs w:val="24"/>
              </w:rPr>
              <w:t>86%</w:t>
            </w:r>
          </w:p>
        </w:tc>
        <w:tc>
          <w:tcPr>
            <w:tcW w:w="490" w:type="pct"/>
            <w:tcBorders>
              <w:top w:val="nil"/>
              <w:left w:val="nil"/>
              <w:bottom w:val="nil"/>
              <w:right w:val="nil"/>
            </w:tcBorders>
            <w:shd w:val="clear" w:color="auto" w:fill="auto"/>
            <w:noWrap/>
            <w:vAlign w:val="bottom"/>
            <w:hideMark/>
          </w:tcPr>
          <w:p w14:paraId="36976C72" w14:textId="77777777" w:rsidR="00E3226F" w:rsidRPr="0072709A" w:rsidRDefault="00E3226F" w:rsidP="00CB5559">
            <w:pPr>
              <w:keepNext/>
              <w:spacing w:after="0"/>
              <w:jc w:val="right"/>
              <w:rPr>
                <w:sz w:val="20"/>
              </w:rPr>
            </w:pPr>
            <w:r w:rsidRPr="006E5612">
              <w:t>350</w:t>
            </w:r>
          </w:p>
        </w:tc>
        <w:tc>
          <w:tcPr>
            <w:tcW w:w="490" w:type="pct"/>
            <w:tcBorders>
              <w:top w:val="nil"/>
              <w:left w:val="nil"/>
              <w:bottom w:val="nil"/>
              <w:right w:val="nil"/>
            </w:tcBorders>
            <w:shd w:val="clear" w:color="auto" w:fill="auto"/>
            <w:noWrap/>
            <w:vAlign w:val="bottom"/>
            <w:hideMark/>
          </w:tcPr>
          <w:p w14:paraId="6A2829AD" w14:textId="77777777" w:rsidR="00E3226F" w:rsidRPr="0072709A" w:rsidRDefault="00E3226F" w:rsidP="00CB5559">
            <w:pPr>
              <w:keepNext/>
              <w:spacing w:after="0"/>
              <w:jc w:val="right"/>
              <w:rPr>
                <w:sz w:val="20"/>
              </w:rPr>
            </w:pPr>
            <w:r w:rsidRPr="006E5612">
              <w:t>430</w:t>
            </w:r>
          </w:p>
        </w:tc>
      </w:tr>
      <w:tr w:rsidR="00E3226F" w:rsidRPr="0072709A" w14:paraId="2AD2CAF4" w14:textId="77777777" w:rsidTr="00CB5559">
        <w:trPr>
          <w:cantSplit/>
        </w:trPr>
        <w:tc>
          <w:tcPr>
            <w:tcW w:w="662" w:type="pct"/>
            <w:tcBorders>
              <w:top w:val="nil"/>
              <w:left w:val="nil"/>
              <w:right w:val="nil"/>
            </w:tcBorders>
            <w:shd w:val="clear" w:color="auto" w:fill="auto"/>
            <w:noWrap/>
            <w:vAlign w:val="bottom"/>
            <w:hideMark/>
          </w:tcPr>
          <w:p w14:paraId="5605D034" w14:textId="77777777" w:rsidR="00E3226F" w:rsidRPr="0072709A" w:rsidRDefault="00E3226F" w:rsidP="00CB5559">
            <w:pPr>
              <w:keepNext/>
              <w:spacing w:after="0"/>
              <w:jc w:val="center"/>
              <w:rPr>
                <w:sz w:val="20"/>
              </w:rPr>
            </w:pPr>
            <w:r w:rsidRPr="0072709A">
              <w:rPr>
                <w:sz w:val="20"/>
              </w:rPr>
              <w:t>1.00</w:t>
            </w:r>
          </w:p>
        </w:tc>
        <w:tc>
          <w:tcPr>
            <w:tcW w:w="339" w:type="pct"/>
            <w:tcBorders>
              <w:top w:val="nil"/>
              <w:left w:val="nil"/>
              <w:right w:val="nil"/>
            </w:tcBorders>
            <w:shd w:val="clear" w:color="auto" w:fill="auto"/>
            <w:noWrap/>
            <w:vAlign w:val="center"/>
            <w:hideMark/>
          </w:tcPr>
          <w:p w14:paraId="3811479D" w14:textId="77777777" w:rsidR="00E3226F" w:rsidRPr="0072709A" w:rsidRDefault="00E3226F" w:rsidP="00CB5559">
            <w:pPr>
              <w:keepNext/>
              <w:spacing w:after="0"/>
              <w:jc w:val="right"/>
              <w:rPr>
                <w:sz w:val="20"/>
              </w:rPr>
            </w:pPr>
            <w:r>
              <w:rPr>
                <w:rFonts w:eastAsia="Times New Roman" w:cs="Times New Roman"/>
              </w:rPr>
              <w:t>3,819</w:t>
            </w:r>
          </w:p>
        </w:tc>
        <w:tc>
          <w:tcPr>
            <w:tcW w:w="769" w:type="pct"/>
            <w:gridSpan w:val="2"/>
            <w:tcBorders>
              <w:top w:val="nil"/>
              <w:left w:val="nil"/>
              <w:right w:val="nil"/>
            </w:tcBorders>
            <w:shd w:val="clear" w:color="auto" w:fill="auto"/>
            <w:noWrap/>
            <w:vAlign w:val="bottom"/>
            <w:hideMark/>
          </w:tcPr>
          <w:p w14:paraId="09F51B05" w14:textId="77777777" w:rsidR="00E3226F" w:rsidRPr="0072709A" w:rsidRDefault="00E3226F" w:rsidP="00CB5559">
            <w:pPr>
              <w:keepNext/>
              <w:spacing w:after="0"/>
              <w:jc w:val="right"/>
              <w:rPr>
                <w:sz w:val="20"/>
              </w:rPr>
            </w:pPr>
            <w:r>
              <w:rPr>
                <w:rFonts w:eastAsia="Times New Roman" w:cs="Times New Roman"/>
                <w:sz w:val="24"/>
                <w:szCs w:val="24"/>
              </w:rPr>
              <w:t>0%</w:t>
            </w:r>
          </w:p>
        </w:tc>
        <w:tc>
          <w:tcPr>
            <w:tcW w:w="403" w:type="pct"/>
            <w:tcBorders>
              <w:top w:val="nil"/>
              <w:left w:val="nil"/>
              <w:right w:val="nil"/>
            </w:tcBorders>
            <w:shd w:val="clear" w:color="auto" w:fill="auto"/>
            <w:noWrap/>
            <w:vAlign w:val="center"/>
            <w:hideMark/>
          </w:tcPr>
          <w:p w14:paraId="1B1A3F26" w14:textId="77777777" w:rsidR="00E3226F" w:rsidRPr="0072709A" w:rsidRDefault="00E3226F" w:rsidP="00CB5559">
            <w:pPr>
              <w:keepNext/>
              <w:spacing w:after="0"/>
              <w:jc w:val="right"/>
              <w:rPr>
                <w:sz w:val="20"/>
              </w:rPr>
            </w:pPr>
            <w:r>
              <w:rPr>
                <w:rFonts w:eastAsia="Times New Roman" w:cs="Times New Roman"/>
              </w:rPr>
              <w:t>6,351</w:t>
            </w:r>
          </w:p>
        </w:tc>
        <w:tc>
          <w:tcPr>
            <w:tcW w:w="719" w:type="pct"/>
            <w:tcBorders>
              <w:top w:val="nil"/>
              <w:left w:val="nil"/>
              <w:right w:val="nil"/>
            </w:tcBorders>
            <w:shd w:val="clear" w:color="auto" w:fill="auto"/>
            <w:noWrap/>
            <w:vAlign w:val="bottom"/>
            <w:hideMark/>
          </w:tcPr>
          <w:p w14:paraId="58F54E59" w14:textId="77777777" w:rsidR="00E3226F" w:rsidRPr="0072709A" w:rsidRDefault="00E3226F" w:rsidP="00CB5559">
            <w:pPr>
              <w:keepNext/>
              <w:spacing w:after="0"/>
              <w:jc w:val="right"/>
              <w:rPr>
                <w:sz w:val="20"/>
              </w:rPr>
            </w:pPr>
            <w:r>
              <w:rPr>
                <w:rFonts w:eastAsia="Times New Roman" w:cs="Times New Roman"/>
                <w:sz w:val="24"/>
                <w:szCs w:val="24"/>
              </w:rPr>
              <w:t>71%</w:t>
            </w:r>
          </w:p>
        </w:tc>
        <w:tc>
          <w:tcPr>
            <w:tcW w:w="403" w:type="pct"/>
            <w:tcBorders>
              <w:top w:val="nil"/>
              <w:left w:val="nil"/>
              <w:right w:val="nil"/>
            </w:tcBorders>
            <w:shd w:val="clear" w:color="auto" w:fill="auto"/>
            <w:noWrap/>
            <w:vAlign w:val="center"/>
            <w:hideMark/>
          </w:tcPr>
          <w:p w14:paraId="55CB995A" w14:textId="77777777" w:rsidR="00E3226F" w:rsidRPr="0072709A" w:rsidRDefault="00E3226F" w:rsidP="00CB5559">
            <w:pPr>
              <w:keepNext/>
              <w:spacing w:after="0"/>
              <w:jc w:val="right"/>
              <w:rPr>
                <w:sz w:val="20"/>
              </w:rPr>
            </w:pPr>
            <w:r>
              <w:rPr>
                <w:rFonts w:eastAsia="Times New Roman" w:cs="Times New Roman"/>
              </w:rPr>
              <w:t>7,786</w:t>
            </w:r>
          </w:p>
        </w:tc>
        <w:tc>
          <w:tcPr>
            <w:tcW w:w="724" w:type="pct"/>
            <w:tcBorders>
              <w:top w:val="nil"/>
              <w:left w:val="nil"/>
              <w:right w:val="nil"/>
            </w:tcBorders>
            <w:shd w:val="clear" w:color="auto" w:fill="auto"/>
            <w:noWrap/>
            <w:vAlign w:val="bottom"/>
            <w:hideMark/>
          </w:tcPr>
          <w:p w14:paraId="7EC6F68C" w14:textId="77777777" w:rsidR="00E3226F" w:rsidRPr="0072709A" w:rsidRDefault="00E3226F" w:rsidP="00CB5559">
            <w:pPr>
              <w:keepNext/>
              <w:spacing w:after="0"/>
              <w:jc w:val="right"/>
              <w:rPr>
                <w:sz w:val="20"/>
              </w:rPr>
            </w:pPr>
            <w:r>
              <w:rPr>
                <w:rFonts w:eastAsia="Times New Roman" w:cs="Times New Roman"/>
                <w:sz w:val="24"/>
                <w:szCs w:val="24"/>
              </w:rPr>
              <w:t>71%</w:t>
            </w:r>
          </w:p>
        </w:tc>
        <w:tc>
          <w:tcPr>
            <w:tcW w:w="490" w:type="pct"/>
            <w:tcBorders>
              <w:top w:val="nil"/>
              <w:left w:val="nil"/>
              <w:right w:val="nil"/>
            </w:tcBorders>
            <w:shd w:val="clear" w:color="auto" w:fill="auto"/>
            <w:noWrap/>
            <w:vAlign w:val="bottom"/>
            <w:hideMark/>
          </w:tcPr>
          <w:p w14:paraId="31ED456F" w14:textId="77777777" w:rsidR="00E3226F" w:rsidRPr="0072709A" w:rsidRDefault="00E3226F" w:rsidP="00CB5559">
            <w:pPr>
              <w:keepNext/>
              <w:spacing w:after="0"/>
              <w:jc w:val="right"/>
              <w:rPr>
                <w:sz w:val="20"/>
              </w:rPr>
            </w:pPr>
            <w:r w:rsidRPr="006E5612">
              <w:t>460</w:t>
            </w:r>
          </w:p>
        </w:tc>
        <w:tc>
          <w:tcPr>
            <w:tcW w:w="490" w:type="pct"/>
            <w:tcBorders>
              <w:top w:val="nil"/>
              <w:left w:val="nil"/>
              <w:right w:val="nil"/>
            </w:tcBorders>
            <w:shd w:val="clear" w:color="auto" w:fill="auto"/>
            <w:noWrap/>
            <w:vAlign w:val="bottom"/>
            <w:hideMark/>
          </w:tcPr>
          <w:p w14:paraId="768D6E71" w14:textId="77777777" w:rsidR="00E3226F" w:rsidRPr="0072709A" w:rsidRDefault="00E3226F" w:rsidP="00CB5559">
            <w:pPr>
              <w:keepNext/>
              <w:spacing w:after="0"/>
              <w:jc w:val="right"/>
              <w:rPr>
                <w:sz w:val="20"/>
              </w:rPr>
            </w:pPr>
            <w:r w:rsidRPr="006E5612">
              <w:t>550</w:t>
            </w:r>
          </w:p>
        </w:tc>
      </w:tr>
      <w:tr w:rsidR="00E3226F" w:rsidRPr="0072709A" w14:paraId="09105631" w14:textId="77777777" w:rsidTr="00CB5559">
        <w:trPr>
          <w:cantSplit/>
        </w:trPr>
        <w:tc>
          <w:tcPr>
            <w:tcW w:w="662" w:type="pct"/>
            <w:tcBorders>
              <w:top w:val="nil"/>
              <w:left w:val="nil"/>
              <w:bottom w:val="single" w:sz="4" w:space="0" w:color="auto"/>
              <w:right w:val="nil"/>
            </w:tcBorders>
            <w:shd w:val="clear" w:color="auto" w:fill="auto"/>
            <w:noWrap/>
            <w:vAlign w:val="bottom"/>
            <w:hideMark/>
          </w:tcPr>
          <w:p w14:paraId="73C0CDAD" w14:textId="77777777" w:rsidR="00E3226F" w:rsidRPr="0072709A" w:rsidRDefault="00E3226F" w:rsidP="00CB5559">
            <w:pPr>
              <w:keepNext/>
              <w:spacing w:after="0"/>
              <w:jc w:val="center"/>
              <w:rPr>
                <w:sz w:val="20"/>
              </w:rPr>
            </w:pPr>
            <w:r w:rsidRPr="0072709A">
              <w:rPr>
                <w:sz w:val="20"/>
              </w:rPr>
              <w:t>1.25</w:t>
            </w:r>
          </w:p>
        </w:tc>
        <w:tc>
          <w:tcPr>
            <w:tcW w:w="339" w:type="pct"/>
            <w:tcBorders>
              <w:top w:val="nil"/>
              <w:left w:val="nil"/>
              <w:bottom w:val="single" w:sz="4" w:space="0" w:color="auto"/>
              <w:right w:val="nil"/>
            </w:tcBorders>
            <w:shd w:val="clear" w:color="auto" w:fill="auto"/>
            <w:noWrap/>
            <w:vAlign w:val="center"/>
            <w:hideMark/>
          </w:tcPr>
          <w:p w14:paraId="469F5A49" w14:textId="77777777" w:rsidR="00E3226F" w:rsidRPr="0072709A" w:rsidRDefault="00E3226F" w:rsidP="00CB5559">
            <w:pPr>
              <w:keepNext/>
              <w:spacing w:after="0"/>
              <w:jc w:val="right"/>
              <w:rPr>
                <w:sz w:val="20"/>
              </w:rPr>
            </w:pPr>
            <w:r>
              <w:rPr>
                <w:rFonts w:eastAsia="Times New Roman" w:cs="Times New Roman"/>
              </w:rPr>
              <w:t>3,685</w:t>
            </w:r>
          </w:p>
        </w:tc>
        <w:tc>
          <w:tcPr>
            <w:tcW w:w="769" w:type="pct"/>
            <w:gridSpan w:val="2"/>
            <w:tcBorders>
              <w:top w:val="nil"/>
              <w:left w:val="nil"/>
              <w:bottom w:val="single" w:sz="4" w:space="0" w:color="auto"/>
              <w:right w:val="nil"/>
            </w:tcBorders>
            <w:shd w:val="clear" w:color="auto" w:fill="auto"/>
            <w:noWrap/>
            <w:vAlign w:val="bottom"/>
            <w:hideMark/>
          </w:tcPr>
          <w:p w14:paraId="6A5786D9" w14:textId="77777777" w:rsidR="00E3226F" w:rsidRPr="00E5282C" w:rsidRDefault="00E3226F" w:rsidP="00CB5559">
            <w:pPr>
              <w:keepNext/>
              <w:spacing w:after="0"/>
              <w:jc w:val="right"/>
              <w:rPr>
                <w:sz w:val="20"/>
              </w:rPr>
            </w:pPr>
            <w:r>
              <w:rPr>
                <w:rFonts w:eastAsia="Times New Roman" w:cs="Times New Roman"/>
                <w:sz w:val="24"/>
                <w:szCs w:val="24"/>
              </w:rPr>
              <w:t>0%</w:t>
            </w:r>
          </w:p>
        </w:tc>
        <w:tc>
          <w:tcPr>
            <w:tcW w:w="403" w:type="pct"/>
            <w:tcBorders>
              <w:top w:val="nil"/>
              <w:left w:val="nil"/>
              <w:bottom w:val="single" w:sz="4" w:space="0" w:color="auto"/>
              <w:right w:val="nil"/>
            </w:tcBorders>
            <w:shd w:val="clear" w:color="auto" w:fill="auto"/>
            <w:noWrap/>
            <w:vAlign w:val="center"/>
            <w:hideMark/>
          </w:tcPr>
          <w:p w14:paraId="3ADD14FD" w14:textId="77777777" w:rsidR="00E3226F" w:rsidRPr="00E5282C" w:rsidRDefault="00E3226F" w:rsidP="00CB5559">
            <w:pPr>
              <w:keepNext/>
              <w:spacing w:after="0"/>
              <w:jc w:val="right"/>
              <w:rPr>
                <w:sz w:val="20"/>
              </w:rPr>
            </w:pPr>
            <w:r>
              <w:rPr>
                <w:rFonts w:eastAsia="Times New Roman" w:cs="Times New Roman"/>
              </w:rPr>
              <w:t>5,580</w:t>
            </w:r>
          </w:p>
        </w:tc>
        <w:tc>
          <w:tcPr>
            <w:tcW w:w="719" w:type="pct"/>
            <w:tcBorders>
              <w:top w:val="nil"/>
              <w:left w:val="nil"/>
              <w:bottom w:val="single" w:sz="4" w:space="0" w:color="auto"/>
              <w:right w:val="nil"/>
            </w:tcBorders>
            <w:shd w:val="clear" w:color="auto" w:fill="auto"/>
            <w:noWrap/>
            <w:vAlign w:val="bottom"/>
            <w:hideMark/>
          </w:tcPr>
          <w:p w14:paraId="4E7B05CD" w14:textId="77777777" w:rsidR="00E3226F" w:rsidRPr="00E5282C" w:rsidRDefault="00E3226F" w:rsidP="00CB5559">
            <w:pPr>
              <w:keepNext/>
              <w:spacing w:after="0"/>
              <w:jc w:val="right"/>
              <w:rPr>
                <w:sz w:val="20"/>
              </w:rPr>
            </w:pPr>
            <w:r>
              <w:rPr>
                <w:rFonts w:eastAsia="Times New Roman" w:cs="Times New Roman"/>
                <w:sz w:val="24"/>
                <w:szCs w:val="24"/>
              </w:rPr>
              <w:t>52%</w:t>
            </w:r>
          </w:p>
        </w:tc>
        <w:tc>
          <w:tcPr>
            <w:tcW w:w="403" w:type="pct"/>
            <w:tcBorders>
              <w:top w:val="nil"/>
              <w:left w:val="nil"/>
              <w:bottom w:val="single" w:sz="4" w:space="0" w:color="auto"/>
              <w:right w:val="nil"/>
            </w:tcBorders>
            <w:shd w:val="clear" w:color="auto" w:fill="auto"/>
            <w:noWrap/>
            <w:vAlign w:val="center"/>
            <w:hideMark/>
          </w:tcPr>
          <w:p w14:paraId="609A65C8" w14:textId="77777777" w:rsidR="00E3226F" w:rsidRPr="00E5282C" w:rsidRDefault="00E3226F" w:rsidP="00CB5559">
            <w:pPr>
              <w:keepNext/>
              <w:spacing w:after="0"/>
              <w:jc w:val="right"/>
              <w:rPr>
                <w:sz w:val="20"/>
              </w:rPr>
            </w:pPr>
            <w:r>
              <w:rPr>
                <w:rFonts w:eastAsia="Times New Roman" w:cs="Times New Roman"/>
              </w:rPr>
              <w:t>6,586</w:t>
            </w:r>
          </w:p>
        </w:tc>
        <w:tc>
          <w:tcPr>
            <w:tcW w:w="724" w:type="pct"/>
            <w:tcBorders>
              <w:top w:val="nil"/>
              <w:left w:val="nil"/>
              <w:bottom w:val="single" w:sz="4" w:space="0" w:color="auto"/>
              <w:right w:val="nil"/>
            </w:tcBorders>
            <w:shd w:val="clear" w:color="auto" w:fill="auto"/>
            <w:noWrap/>
            <w:vAlign w:val="bottom"/>
            <w:hideMark/>
          </w:tcPr>
          <w:p w14:paraId="1E3FA178" w14:textId="77777777" w:rsidR="00E3226F" w:rsidRPr="00E5282C" w:rsidRDefault="00E3226F" w:rsidP="00CB5559">
            <w:pPr>
              <w:keepNext/>
              <w:spacing w:after="0"/>
              <w:jc w:val="right"/>
              <w:rPr>
                <w:sz w:val="20"/>
              </w:rPr>
            </w:pPr>
            <w:r>
              <w:rPr>
                <w:rFonts w:eastAsia="Times New Roman" w:cs="Times New Roman"/>
                <w:sz w:val="24"/>
                <w:szCs w:val="24"/>
              </w:rPr>
              <w:t>52%</w:t>
            </w:r>
          </w:p>
        </w:tc>
        <w:tc>
          <w:tcPr>
            <w:tcW w:w="490" w:type="pct"/>
            <w:tcBorders>
              <w:top w:val="nil"/>
              <w:left w:val="nil"/>
              <w:bottom w:val="single" w:sz="4" w:space="0" w:color="auto"/>
              <w:right w:val="nil"/>
            </w:tcBorders>
            <w:shd w:val="clear" w:color="auto" w:fill="auto"/>
            <w:noWrap/>
            <w:vAlign w:val="bottom"/>
            <w:hideMark/>
          </w:tcPr>
          <w:p w14:paraId="0A223D15" w14:textId="77777777" w:rsidR="00E3226F" w:rsidRPr="00E5282C" w:rsidRDefault="00E3226F" w:rsidP="00CB5559">
            <w:pPr>
              <w:keepNext/>
              <w:spacing w:after="0"/>
              <w:jc w:val="right"/>
              <w:rPr>
                <w:sz w:val="20"/>
              </w:rPr>
            </w:pPr>
            <w:r w:rsidRPr="006E5612">
              <w:t>570</w:t>
            </w:r>
          </w:p>
        </w:tc>
        <w:tc>
          <w:tcPr>
            <w:tcW w:w="490" w:type="pct"/>
            <w:tcBorders>
              <w:top w:val="nil"/>
              <w:left w:val="nil"/>
              <w:bottom w:val="single" w:sz="4" w:space="0" w:color="auto"/>
              <w:right w:val="nil"/>
            </w:tcBorders>
            <w:shd w:val="clear" w:color="auto" w:fill="auto"/>
            <w:noWrap/>
            <w:vAlign w:val="bottom"/>
            <w:hideMark/>
          </w:tcPr>
          <w:p w14:paraId="5E8E02DA" w14:textId="77777777" w:rsidR="00E3226F" w:rsidRPr="00E5282C" w:rsidRDefault="00E3226F" w:rsidP="00CB5559">
            <w:pPr>
              <w:keepNext/>
              <w:spacing w:after="0"/>
              <w:jc w:val="right"/>
              <w:rPr>
                <w:sz w:val="20"/>
              </w:rPr>
            </w:pPr>
            <w:r w:rsidRPr="006E5612">
              <w:t>660</w:t>
            </w:r>
          </w:p>
        </w:tc>
      </w:tr>
      <w:tr w:rsidR="00E3226F" w:rsidRPr="0072709A" w14:paraId="2D751F6D" w14:textId="77777777" w:rsidTr="00CB5559">
        <w:trPr>
          <w:cantSplit/>
        </w:trPr>
        <w:tc>
          <w:tcPr>
            <w:tcW w:w="662" w:type="pct"/>
            <w:tcBorders>
              <w:top w:val="single" w:sz="4" w:space="0" w:color="auto"/>
              <w:left w:val="nil"/>
              <w:bottom w:val="nil"/>
              <w:right w:val="nil"/>
            </w:tcBorders>
            <w:shd w:val="clear" w:color="auto" w:fill="auto"/>
            <w:noWrap/>
            <w:vAlign w:val="bottom"/>
            <w:hideMark/>
          </w:tcPr>
          <w:p w14:paraId="52C745FB" w14:textId="77777777" w:rsidR="00E3226F" w:rsidRPr="0072709A" w:rsidRDefault="00E3226F" w:rsidP="00CB5559">
            <w:pPr>
              <w:keepNext/>
              <w:spacing w:after="0"/>
              <w:jc w:val="right"/>
              <w:rPr>
                <w:sz w:val="20"/>
              </w:rPr>
            </w:pPr>
          </w:p>
        </w:tc>
        <w:tc>
          <w:tcPr>
            <w:tcW w:w="339" w:type="pct"/>
            <w:tcBorders>
              <w:top w:val="single" w:sz="4" w:space="0" w:color="auto"/>
              <w:left w:val="nil"/>
              <w:bottom w:val="nil"/>
              <w:right w:val="nil"/>
            </w:tcBorders>
            <w:shd w:val="clear" w:color="auto" w:fill="auto"/>
            <w:noWrap/>
            <w:vAlign w:val="bottom"/>
            <w:hideMark/>
          </w:tcPr>
          <w:p w14:paraId="41D48028" w14:textId="77777777" w:rsidR="00E3226F" w:rsidRPr="0072709A" w:rsidRDefault="00E3226F" w:rsidP="00CB5559">
            <w:pPr>
              <w:keepNext/>
              <w:spacing w:after="0"/>
              <w:rPr>
                <w:sz w:val="20"/>
              </w:rPr>
            </w:pPr>
          </w:p>
        </w:tc>
        <w:tc>
          <w:tcPr>
            <w:tcW w:w="769" w:type="pct"/>
            <w:gridSpan w:val="2"/>
            <w:tcBorders>
              <w:top w:val="single" w:sz="4" w:space="0" w:color="auto"/>
              <w:left w:val="nil"/>
              <w:bottom w:val="nil"/>
              <w:right w:val="nil"/>
            </w:tcBorders>
            <w:shd w:val="clear" w:color="auto" w:fill="auto"/>
            <w:noWrap/>
            <w:vAlign w:val="bottom"/>
            <w:hideMark/>
          </w:tcPr>
          <w:p w14:paraId="10454D6F" w14:textId="77777777" w:rsidR="00E3226F" w:rsidRPr="0072709A" w:rsidRDefault="00E3226F" w:rsidP="00CB5559">
            <w:pPr>
              <w:keepNext/>
              <w:spacing w:after="0"/>
              <w:rPr>
                <w:sz w:val="20"/>
              </w:rPr>
            </w:pPr>
          </w:p>
        </w:tc>
        <w:tc>
          <w:tcPr>
            <w:tcW w:w="403" w:type="pct"/>
            <w:tcBorders>
              <w:top w:val="single" w:sz="4" w:space="0" w:color="auto"/>
              <w:left w:val="nil"/>
              <w:bottom w:val="nil"/>
              <w:right w:val="nil"/>
            </w:tcBorders>
            <w:shd w:val="clear" w:color="auto" w:fill="auto"/>
            <w:noWrap/>
            <w:vAlign w:val="bottom"/>
            <w:hideMark/>
          </w:tcPr>
          <w:p w14:paraId="4DB85911" w14:textId="77777777" w:rsidR="00E3226F" w:rsidRPr="0072709A" w:rsidRDefault="00E3226F" w:rsidP="00CB5559">
            <w:pPr>
              <w:keepNext/>
              <w:spacing w:after="0"/>
              <w:rPr>
                <w:sz w:val="20"/>
              </w:rPr>
            </w:pPr>
          </w:p>
        </w:tc>
        <w:tc>
          <w:tcPr>
            <w:tcW w:w="719" w:type="pct"/>
            <w:tcBorders>
              <w:top w:val="single" w:sz="4" w:space="0" w:color="auto"/>
              <w:left w:val="nil"/>
              <w:bottom w:val="nil"/>
              <w:right w:val="nil"/>
            </w:tcBorders>
            <w:shd w:val="clear" w:color="auto" w:fill="auto"/>
            <w:noWrap/>
            <w:vAlign w:val="bottom"/>
            <w:hideMark/>
          </w:tcPr>
          <w:p w14:paraId="343DAE6E" w14:textId="77777777" w:rsidR="00E3226F" w:rsidRPr="0072709A" w:rsidRDefault="00E3226F" w:rsidP="00CB5559">
            <w:pPr>
              <w:keepNext/>
              <w:spacing w:after="0"/>
              <w:rPr>
                <w:sz w:val="20"/>
              </w:rPr>
            </w:pPr>
          </w:p>
        </w:tc>
        <w:tc>
          <w:tcPr>
            <w:tcW w:w="403" w:type="pct"/>
            <w:tcBorders>
              <w:top w:val="single" w:sz="4" w:space="0" w:color="auto"/>
              <w:left w:val="nil"/>
              <w:bottom w:val="nil"/>
              <w:right w:val="nil"/>
            </w:tcBorders>
            <w:shd w:val="clear" w:color="auto" w:fill="auto"/>
            <w:noWrap/>
            <w:vAlign w:val="bottom"/>
            <w:hideMark/>
          </w:tcPr>
          <w:p w14:paraId="3D596FDA" w14:textId="77777777" w:rsidR="00E3226F" w:rsidRPr="0072709A" w:rsidRDefault="00E3226F" w:rsidP="00CB5559">
            <w:pPr>
              <w:keepNext/>
              <w:spacing w:after="0"/>
              <w:rPr>
                <w:sz w:val="20"/>
              </w:rPr>
            </w:pPr>
          </w:p>
        </w:tc>
        <w:tc>
          <w:tcPr>
            <w:tcW w:w="724" w:type="pct"/>
            <w:tcBorders>
              <w:top w:val="single" w:sz="4" w:space="0" w:color="auto"/>
              <w:left w:val="nil"/>
              <w:bottom w:val="nil"/>
              <w:right w:val="nil"/>
            </w:tcBorders>
            <w:shd w:val="clear" w:color="auto" w:fill="auto"/>
            <w:noWrap/>
            <w:vAlign w:val="bottom"/>
            <w:hideMark/>
          </w:tcPr>
          <w:p w14:paraId="2B24D962" w14:textId="77777777" w:rsidR="00E3226F" w:rsidRPr="0072709A" w:rsidRDefault="00E3226F" w:rsidP="00CB5559">
            <w:pPr>
              <w:keepNext/>
              <w:spacing w:after="0"/>
              <w:rPr>
                <w:sz w:val="20"/>
              </w:rPr>
            </w:pPr>
          </w:p>
        </w:tc>
        <w:tc>
          <w:tcPr>
            <w:tcW w:w="490" w:type="pct"/>
            <w:tcBorders>
              <w:top w:val="single" w:sz="4" w:space="0" w:color="auto"/>
              <w:left w:val="nil"/>
              <w:bottom w:val="nil"/>
              <w:right w:val="nil"/>
            </w:tcBorders>
            <w:shd w:val="clear" w:color="auto" w:fill="auto"/>
            <w:noWrap/>
            <w:vAlign w:val="bottom"/>
            <w:hideMark/>
          </w:tcPr>
          <w:p w14:paraId="3FB4609D" w14:textId="77777777" w:rsidR="00E3226F" w:rsidRPr="0072709A" w:rsidRDefault="00E3226F" w:rsidP="00CB5559">
            <w:pPr>
              <w:keepNext/>
              <w:spacing w:after="0"/>
              <w:rPr>
                <w:sz w:val="20"/>
              </w:rPr>
            </w:pPr>
          </w:p>
        </w:tc>
        <w:tc>
          <w:tcPr>
            <w:tcW w:w="490" w:type="pct"/>
            <w:tcBorders>
              <w:top w:val="single" w:sz="4" w:space="0" w:color="auto"/>
              <w:left w:val="nil"/>
              <w:bottom w:val="nil"/>
              <w:right w:val="nil"/>
            </w:tcBorders>
            <w:shd w:val="clear" w:color="auto" w:fill="auto"/>
            <w:noWrap/>
            <w:vAlign w:val="bottom"/>
            <w:hideMark/>
          </w:tcPr>
          <w:p w14:paraId="05EB42FA" w14:textId="77777777" w:rsidR="00E3226F" w:rsidRPr="0072709A" w:rsidRDefault="00E3226F" w:rsidP="00CB5559">
            <w:pPr>
              <w:keepNext/>
              <w:spacing w:after="0"/>
              <w:rPr>
                <w:sz w:val="20"/>
              </w:rPr>
            </w:pPr>
          </w:p>
        </w:tc>
      </w:tr>
      <w:tr w:rsidR="00E3226F" w:rsidRPr="0072709A" w14:paraId="7F3AE142" w14:textId="77777777" w:rsidTr="00CB5559">
        <w:trPr>
          <w:cantSplit/>
        </w:trPr>
        <w:tc>
          <w:tcPr>
            <w:tcW w:w="4020" w:type="pct"/>
            <w:gridSpan w:val="8"/>
            <w:tcBorders>
              <w:top w:val="nil"/>
              <w:left w:val="nil"/>
              <w:bottom w:val="double" w:sz="4" w:space="0" w:color="auto"/>
              <w:right w:val="nil"/>
            </w:tcBorders>
            <w:shd w:val="clear" w:color="auto" w:fill="auto"/>
            <w:noWrap/>
            <w:vAlign w:val="bottom"/>
            <w:hideMark/>
          </w:tcPr>
          <w:p w14:paraId="014371B1" w14:textId="77777777" w:rsidR="00E3226F" w:rsidRPr="0072709A" w:rsidRDefault="00E3226F" w:rsidP="00CB5559">
            <w:pPr>
              <w:keepNext/>
              <w:spacing w:after="0"/>
              <w:rPr>
                <w:sz w:val="20"/>
              </w:rPr>
            </w:pPr>
            <w:r w:rsidRPr="0072709A">
              <w:rPr>
                <w:b/>
                <w:sz w:val="20"/>
              </w:rPr>
              <w:t xml:space="preserve">Model </w:t>
            </w:r>
            <w:r>
              <w:rPr>
                <w:b/>
                <w:sz w:val="20"/>
              </w:rPr>
              <w:t>2.3,</w:t>
            </w:r>
            <w:r w:rsidRPr="0072709A">
              <w:rPr>
                <w:b/>
                <w:sz w:val="20"/>
              </w:rPr>
              <w:t xml:space="preserve"> </w:t>
            </w:r>
            <w:r>
              <w:rPr>
                <w:b/>
                <w:sz w:val="20"/>
              </w:rPr>
              <w:t>s</w:t>
            </w:r>
            <w:r w:rsidRPr="0072709A">
              <w:rPr>
                <w:b/>
                <w:sz w:val="20"/>
              </w:rPr>
              <w:t xml:space="preserve">teepness=0.65, recruitment from </w:t>
            </w:r>
            <w:r>
              <w:rPr>
                <w:b/>
                <w:sz w:val="20"/>
              </w:rPr>
              <w:t>2000</w:t>
            </w:r>
            <w:r w:rsidRPr="0072709A">
              <w:rPr>
                <w:b/>
                <w:sz w:val="20"/>
              </w:rPr>
              <w:t>-201</w:t>
            </w:r>
            <w:r>
              <w:rPr>
                <w:b/>
                <w:sz w:val="20"/>
              </w:rPr>
              <w:t>2</w:t>
            </w:r>
          </w:p>
        </w:tc>
        <w:tc>
          <w:tcPr>
            <w:tcW w:w="490" w:type="pct"/>
            <w:tcBorders>
              <w:top w:val="nil"/>
              <w:left w:val="nil"/>
              <w:bottom w:val="double" w:sz="4" w:space="0" w:color="auto"/>
              <w:right w:val="nil"/>
            </w:tcBorders>
            <w:shd w:val="clear" w:color="auto" w:fill="auto"/>
            <w:noWrap/>
            <w:vAlign w:val="bottom"/>
            <w:hideMark/>
          </w:tcPr>
          <w:p w14:paraId="136D45A8" w14:textId="77777777" w:rsidR="00E3226F" w:rsidRPr="0072709A" w:rsidRDefault="00E3226F" w:rsidP="00CB5559">
            <w:pPr>
              <w:keepNext/>
              <w:spacing w:after="0"/>
              <w:rPr>
                <w:sz w:val="20"/>
              </w:rPr>
            </w:pPr>
          </w:p>
        </w:tc>
        <w:tc>
          <w:tcPr>
            <w:tcW w:w="490" w:type="pct"/>
            <w:tcBorders>
              <w:top w:val="nil"/>
              <w:left w:val="nil"/>
              <w:bottom w:val="double" w:sz="4" w:space="0" w:color="auto"/>
              <w:right w:val="nil"/>
            </w:tcBorders>
            <w:shd w:val="clear" w:color="auto" w:fill="auto"/>
            <w:noWrap/>
            <w:vAlign w:val="bottom"/>
            <w:hideMark/>
          </w:tcPr>
          <w:p w14:paraId="6215F3E7" w14:textId="77777777" w:rsidR="00E3226F" w:rsidRPr="0072709A" w:rsidRDefault="00E3226F" w:rsidP="00CB5559">
            <w:pPr>
              <w:keepNext/>
              <w:spacing w:after="0"/>
              <w:rPr>
                <w:sz w:val="20"/>
              </w:rPr>
            </w:pPr>
          </w:p>
        </w:tc>
      </w:tr>
      <w:tr w:rsidR="00E3226F" w:rsidRPr="0072709A" w14:paraId="680E1AF4" w14:textId="77777777" w:rsidTr="00CB5559">
        <w:trPr>
          <w:cantSplit/>
        </w:trPr>
        <w:tc>
          <w:tcPr>
            <w:tcW w:w="662" w:type="pct"/>
            <w:tcBorders>
              <w:top w:val="double" w:sz="4" w:space="0" w:color="auto"/>
              <w:left w:val="nil"/>
              <w:bottom w:val="single" w:sz="4" w:space="0" w:color="auto"/>
              <w:right w:val="nil"/>
            </w:tcBorders>
            <w:shd w:val="clear" w:color="auto" w:fill="auto"/>
            <w:noWrap/>
            <w:vAlign w:val="bottom"/>
            <w:hideMark/>
          </w:tcPr>
          <w:p w14:paraId="10E09E8F" w14:textId="77777777" w:rsidR="00E3226F" w:rsidRPr="0072709A" w:rsidRDefault="00E3226F" w:rsidP="00CB5559">
            <w:pPr>
              <w:keepNext/>
              <w:spacing w:after="0"/>
              <w:jc w:val="center"/>
              <w:rPr>
                <w:sz w:val="20"/>
              </w:rPr>
            </w:pPr>
            <w:r w:rsidRPr="00E5282C">
              <w:rPr>
                <w:sz w:val="20"/>
              </w:rPr>
              <w:t xml:space="preserve">Multiplier of </w:t>
            </w:r>
            <w:r w:rsidRPr="00E5282C">
              <w:rPr>
                <w:sz w:val="20"/>
              </w:rPr>
              <w:br/>
              <w:t>F</w:t>
            </w:r>
            <w:r w:rsidRPr="00E5282C">
              <w:rPr>
                <w:sz w:val="20"/>
                <w:vertAlign w:val="subscript"/>
              </w:rPr>
              <w:t>201</w:t>
            </w:r>
            <w:r>
              <w:rPr>
                <w:sz w:val="20"/>
                <w:vertAlign w:val="subscript"/>
              </w:rPr>
              <w:t>4</w:t>
            </w:r>
          </w:p>
        </w:tc>
        <w:tc>
          <w:tcPr>
            <w:tcW w:w="339" w:type="pct"/>
            <w:tcBorders>
              <w:top w:val="double" w:sz="4" w:space="0" w:color="auto"/>
              <w:left w:val="nil"/>
              <w:bottom w:val="single" w:sz="4" w:space="0" w:color="auto"/>
              <w:right w:val="nil"/>
            </w:tcBorders>
            <w:shd w:val="clear" w:color="auto" w:fill="auto"/>
            <w:noWrap/>
            <w:vAlign w:val="bottom"/>
            <w:hideMark/>
          </w:tcPr>
          <w:p w14:paraId="142F97EA" w14:textId="77777777" w:rsidR="00E3226F" w:rsidRPr="0072709A" w:rsidRDefault="00E3226F" w:rsidP="00CB5559">
            <w:pPr>
              <w:keepNext/>
              <w:spacing w:after="0"/>
              <w:jc w:val="right"/>
              <w:rPr>
                <w:vanish/>
                <w:sz w:val="20"/>
              </w:rPr>
            </w:pPr>
            <w:r w:rsidRPr="0072709A">
              <w:rPr>
                <w:sz w:val="20"/>
              </w:rPr>
              <w:t>B</w:t>
            </w:r>
            <w:r w:rsidRPr="0072709A">
              <w:rPr>
                <w:sz w:val="20"/>
                <w:vertAlign w:val="subscript"/>
              </w:rPr>
              <w:t>201</w:t>
            </w:r>
            <w:r>
              <w:rPr>
                <w:sz w:val="20"/>
                <w:vertAlign w:val="subscript"/>
              </w:rPr>
              <w:t>6</w:t>
            </w:r>
          </w:p>
        </w:tc>
        <w:tc>
          <w:tcPr>
            <w:tcW w:w="769" w:type="pct"/>
            <w:gridSpan w:val="2"/>
            <w:tcBorders>
              <w:top w:val="double" w:sz="4" w:space="0" w:color="auto"/>
              <w:left w:val="nil"/>
              <w:bottom w:val="single" w:sz="4" w:space="0" w:color="auto"/>
              <w:right w:val="nil"/>
            </w:tcBorders>
            <w:shd w:val="clear" w:color="auto" w:fill="auto"/>
            <w:noWrap/>
            <w:vAlign w:val="bottom"/>
            <w:hideMark/>
          </w:tcPr>
          <w:p w14:paraId="00E395D2" w14:textId="77777777" w:rsidR="00E3226F" w:rsidRPr="0072709A" w:rsidRDefault="00E3226F" w:rsidP="00CB5559">
            <w:pPr>
              <w:keepNext/>
              <w:spacing w:after="0"/>
              <w:jc w:val="right"/>
              <w:rPr>
                <w:vanish/>
                <w:sz w:val="20"/>
              </w:rPr>
            </w:pPr>
            <w:r w:rsidRPr="0072709A">
              <w:rPr>
                <w:sz w:val="20"/>
              </w:rPr>
              <w:t>P(B</w:t>
            </w:r>
            <w:r w:rsidRPr="0072709A">
              <w:rPr>
                <w:sz w:val="20"/>
                <w:vertAlign w:val="subscript"/>
              </w:rPr>
              <w:t>201</w:t>
            </w:r>
            <w:r>
              <w:rPr>
                <w:sz w:val="20"/>
                <w:vertAlign w:val="subscript"/>
              </w:rPr>
              <w:t>6</w:t>
            </w:r>
            <w:r w:rsidRPr="0072709A">
              <w:rPr>
                <w:sz w:val="20"/>
              </w:rPr>
              <w:t xml:space="preserve"> &gt; </w:t>
            </w:r>
            <w:r w:rsidRPr="0072709A">
              <w:rPr>
                <w:i/>
                <w:sz w:val="20"/>
              </w:rPr>
              <w:t>B</w:t>
            </w:r>
            <w:r>
              <w:rPr>
                <w:i/>
                <w:sz w:val="20"/>
                <w:vertAlign w:val="subscript"/>
              </w:rPr>
              <w:t>MSY</w:t>
            </w:r>
            <w:r w:rsidRPr="0072709A">
              <w:rPr>
                <w:sz w:val="20"/>
              </w:rPr>
              <w:t>)</w:t>
            </w:r>
          </w:p>
        </w:tc>
        <w:tc>
          <w:tcPr>
            <w:tcW w:w="403" w:type="pct"/>
            <w:tcBorders>
              <w:top w:val="double" w:sz="4" w:space="0" w:color="auto"/>
              <w:left w:val="nil"/>
              <w:bottom w:val="single" w:sz="4" w:space="0" w:color="auto"/>
              <w:right w:val="nil"/>
            </w:tcBorders>
            <w:shd w:val="clear" w:color="auto" w:fill="auto"/>
            <w:noWrap/>
            <w:vAlign w:val="bottom"/>
            <w:hideMark/>
          </w:tcPr>
          <w:p w14:paraId="35F75A67" w14:textId="77777777" w:rsidR="00E3226F" w:rsidRPr="0072709A" w:rsidRDefault="00E3226F" w:rsidP="00CB5559">
            <w:pPr>
              <w:keepNext/>
              <w:spacing w:after="0"/>
              <w:jc w:val="right"/>
              <w:rPr>
                <w:vanish/>
                <w:sz w:val="20"/>
              </w:rPr>
            </w:pPr>
            <w:r w:rsidRPr="0072709A">
              <w:rPr>
                <w:sz w:val="20"/>
              </w:rPr>
              <w:t>B</w:t>
            </w:r>
            <w:r w:rsidRPr="0072709A">
              <w:rPr>
                <w:sz w:val="20"/>
                <w:vertAlign w:val="subscript"/>
              </w:rPr>
              <w:t>202</w:t>
            </w:r>
            <w:r>
              <w:rPr>
                <w:sz w:val="20"/>
                <w:vertAlign w:val="subscript"/>
              </w:rPr>
              <w:t>4</w:t>
            </w:r>
          </w:p>
        </w:tc>
        <w:tc>
          <w:tcPr>
            <w:tcW w:w="719" w:type="pct"/>
            <w:tcBorders>
              <w:top w:val="double" w:sz="4" w:space="0" w:color="auto"/>
              <w:left w:val="nil"/>
              <w:bottom w:val="single" w:sz="4" w:space="0" w:color="auto"/>
              <w:right w:val="nil"/>
            </w:tcBorders>
            <w:shd w:val="clear" w:color="auto" w:fill="auto"/>
            <w:noWrap/>
            <w:vAlign w:val="bottom"/>
            <w:hideMark/>
          </w:tcPr>
          <w:p w14:paraId="6D53F556" w14:textId="77777777" w:rsidR="00E3226F" w:rsidRPr="0072709A" w:rsidRDefault="00E3226F" w:rsidP="00CB5559">
            <w:pPr>
              <w:keepNext/>
              <w:spacing w:after="0"/>
              <w:jc w:val="right"/>
              <w:rPr>
                <w:vanish/>
                <w:sz w:val="20"/>
              </w:rPr>
            </w:pPr>
            <w:r w:rsidRPr="0072709A">
              <w:rPr>
                <w:sz w:val="20"/>
              </w:rPr>
              <w:t>P(B</w:t>
            </w:r>
            <w:r w:rsidRPr="0072709A">
              <w:rPr>
                <w:sz w:val="20"/>
                <w:vertAlign w:val="subscript"/>
              </w:rPr>
              <w:t>202</w:t>
            </w:r>
            <w:r>
              <w:rPr>
                <w:sz w:val="20"/>
                <w:vertAlign w:val="subscript"/>
              </w:rPr>
              <w:t>4</w:t>
            </w:r>
            <w:r w:rsidRPr="0072709A">
              <w:rPr>
                <w:sz w:val="20"/>
              </w:rPr>
              <w:t xml:space="preserve"> &gt; </w:t>
            </w:r>
            <w:r w:rsidRPr="0072709A">
              <w:rPr>
                <w:i/>
                <w:sz w:val="20"/>
              </w:rPr>
              <w:t>B</w:t>
            </w:r>
            <w:r>
              <w:rPr>
                <w:i/>
                <w:sz w:val="20"/>
                <w:vertAlign w:val="subscript"/>
              </w:rPr>
              <w:t>MSY</w:t>
            </w:r>
            <w:r w:rsidRPr="0072709A">
              <w:rPr>
                <w:sz w:val="20"/>
              </w:rPr>
              <w:t>)</w:t>
            </w:r>
          </w:p>
        </w:tc>
        <w:tc>
          <w:tcPr>
            <w:tcW w:w="403" w:type="pct"/>
            <w:tcBorders>
              <w:top w:val="double" w:sz="4" w:space="0" w:color="auto"/>
              <w:left w:val="nil"/>
              <w:bottom w:val="single" w:sz="4" w:space="0" w:color="auto"/>
              <w:right w:val="nil"/>
            </w:tcBorders>
            <w:shd w:val="clear" w:color="auto" w:fill="auto"/>
            <w:noWrap/>
            <w:vAlign w:val="bottom"/>
            <w:hideMark/>
          </w:tcPr>
          <w:p w14:paraId="48F7DA54" w14:textId="77777777" w:rsidR="00E3226F" w:rsidRPr="0072709A" w:rsidRDefault="00E3226F" w:rsidP="00CB5559">
            <w:pPr>
              <w:keepNext/>
              <w:spacing w:after="0"/>
              <w:jc w:val="right"/>
              <w:rPr>
                <w:vanish/>
                <w:sz w:val="20"/>
              </w:rPr>
            </w:pPr>
            <w:r w:rsidRPr="0072709A">
              <w:rPr>
                <w:sz w:val="20"/>
              </w:rPr>
              <w:t>B</w:t>
            </w:r>
            <w:r w:rsidRPr="0072709A">
              <w:rPr>
                <w:sz w:val="20"/>
                <w:vertAlign w:val="subscript"/>
              </w:rPr>
              <w:t>203</w:t>
            </w:r>
            <w:r>
              <w:rPr>
                <w:sz w:val="20"/>
                <w:vertAlign w:val="subscript"/>
              </w:rPr>
              <w:t>4</w:t>
            </w:r>
          </w:p>
        </w:tc>
        <w:tc>
          <w:tcPr>
            <w:tcW w:w="724" w:type="pct"/>
            <w:tcBorders>
              <w:top w:val="double" w:sz="4" w:space="0" w:color="auto"/>
              <w:left w:val="nil"/>
              <w:bottom w:val="single" w:sz="4" w:space="0" w:color="auto"/>
              <w:right w:val="nil"/>
            </w:tcBorders>
            <w:shd w:val="clear" w:color="auto" w:fill="auto"/>
            <w:noWrap/>
            <w:vAlign w:val="bottom"/>
            <w:hideMark/>
          </w:tcPr>
          <w:p w14:paraId="677FAC8B" w14:textId="77777777" w:rsidR="00E3226F" w:rsidRPr="0072709A" w:rsidRDefault="00E3226F" w:rsidP="00CB5559">
            <w:pPr>
              <w:keepNext/>
              <w:spacing w:after="0"/>
              <w:jc w:val="right"/>
              <w:rPr>
                <w:vanish/>
                <w:sz w:val="20"/>
              </w:rPr>
            </w:pPr>
            <w:r w:rsidRPr="0072709A">
              <w:rPr>
                <w:sz w:val="20"/>
              </w:rPr>
              <w:t>P(B</w:t>
            </w:r>
            <w:r w:rsidRPr="0072709A">
              <w:rPr>
                <w:sz w:val="20"/>
                <w:vertAlign w:val="subscript"/>
              </w:rPr>
              <w:t>203</w:t>
            </w:r>
            <w:r>
              <w:rPr>
                <w:sz w:val="20"/>
                <w:vertAlign w:val="subscript"/>
              </w:rPr>
              <w:t>4</w:t>
            </w:r>
            <w:r w:rsidRPr="0072709A">
              <w:rPr>
                <w:sz w:val="20"/>
              </w:rPr>
              <w:t xml:space="preserve"> &gt; </w:t>
            </w:r>
            <w:r w:rsidRPr="0072709A">
              <w:rPr>
                <w:i/>
                <w:sz w:val="20"/>
              </w:rPr>
              <w:t>B</w:t>
            </w:r>
            <w:r>
              <w:rPr>
                <w:i/>
                <w:sz w:val="20"/>
                <w:vertAlign w:val="subscript"/>
              </w:rPr>
              <w:t>MSY</w:t>
            </w:r>
            <w:r w:rsidRPr="0072709A">
              <w:rPr>
                <w:sz w:val="20"/>
              </w:rPr>
              <w:t>)</w:t>
            </w:r>
          </w:p>
        </w:tc>
        <w:tc>
          <w:tcPr>
            <w:tcW w:w="490" w:type="pct"/>
            <w:tcBorders>
              <w:top w:val="double" w:sz="4" w:space="0" w:color="auto"/>
              <w:left w:val="nil"/>
              <w:bottom w:val="single" w:sz="4" w:space="0" w:color="auto"/>
              <w:right w:val="nil"/>
            </w:tcBorders>
            <w:shd w:val="clear" w:color="auto" w:fill="auto"/>
            <w:noWrap/>
            <w:vAlign w:val="bottom"/>
            <w:hideMark/>
          </w:tcPr>
          <w:p w14:paraId="280B3D25" w14:textId="77777777" w:rsidR="00E3226F" w:rsidRPr="0072709A" w:rsidRDefault="00E3226F" w:rsidP="00CB5559">
            <w:pPr>
              <w:keepNext/>
              <w:spacing w:after="0"/>
              <w:jc w:val="right"/>
              <w:rPr>
                <w:sz w:val="20"/>
              </w:rPr>
            </w:pPr>
            <w:r w:rsidRPr="0072709A">
              <w:rPr>
                <w:sz w:val="20"/>
              </w:rPr>
              <w:t xml:space="preserve">Catch </w:t>
            </w:r>
            <w:r>
              <w:rPr>
                <w:sz w:val="20"/>
              </w:rPr>
              <w:br/>
              <w:t>2015 (kt)</w:t>
            </w:r>
          </w:p>
        </w:tc>
        <w:tc>
          <w:tcPr>
            <w:tcW w:w="490" w:type="pct"/>
            <w:tcBorders>
              <w:top w:val="double" w:sz="4" w:space="0" w:color="auto"/>
              <w:left w:val="nil"/>
              <w:bottom w:val="single" w:sz="4" w:space="0" w:color="auto"/>
              <w:right w:val="nil"/>
            </w:tcBorders>
            <w:shd w:val="clear" w:color="auto" w:fill="auto"/>
            <w:noWrap/>
            <w:vAlign w:val="bottom"/>
            <w:hideMark/>
          </w:tcPr>
          <w:p w14:paraId="52357674" w14:textId="77777777" w:rsidR="00E3226F" w:rsidRPr="0072709A" w:rsidRDefault="00E3226F" w:rsidP="00CB5559">
            <w:pPr>
              <w:keepNext/>
              <w:spacing w:after="0"/>
              <w:jc w:val="right"/>
              <w:rPr>
                <w:sz w:val="20"/>
              </w:rPr>
            </w:pPr>
            <w:r w:rsidRPr="0072709A">
              <w:rPr>
                <w:sz w:val="20"/>
              </w:rPr>
              <w:t xml:space="preserve">Catch </w:t>
            </w:r>
            <w:r>
              <w:rPr>
                <w:sz w:val="20"/>
              </w:rPr>
              <w:br/>
            </w:r>
            <w:r w:rsidRPr="0072709A">
              <w:rPr>
                <w:sz w:val="20"/>
              </w:rPr>
              <w:t>201</w:t>
            </w:r>
            <w:r>
              <w:rPr>
                <w:sz w:val="20"/>
              </w:rPr>
              <w:t>6 (kt)</w:t>
            </w:r>
          </w:p>
        </w:tc>
      </w:tr>
      <w:tr w:rsidR="00E3226F" w:rsidRPr="0072709A" w14:paraId="1448D686" w14:textId="77777777" w:rsidTr="00CB5559">
        <w:trPr>
          <w:cantSplit/>
        </w:trPr>
        <w:tc>
          <w:tcPr>
            <w:tcW w:w="662" w:type="pct"/>
            <w:tcBorders>
              <w:top w:val="single" w:sz="4" w:space="0" w:color="auto"/>
              <w:left w:val="nil"/>
              <w:bottom w:val="nil"/>
              <w:right w:val="nil"/>
            </w:tcBorders>
            <w:shd w:val="clear" w:color="auto" w:fill="auto"/>
            <w:noWrap/>
            <w:vAlign w:val="bottom"/>
            <w:hideMark/>
          </w:tcPr>
          <w:p w14:paraId="002CE22E" w14:textId="77777777" w:rsidR="00E3226F" w:rsidRPr="0072709A" w:rsidRDefault="00E3226F" w:rsidP="00CB5559">
            <w:pPr>
              <w:keepNext/>
              <w:spacing w:after="0"/>
              <w:jc w:val="center"/>
              <w:rPr>
                <w:sz w:val="20"/>
              </w:rPr>
            </w:pPr>
            <w:r w:rsidRPr="0072709A">
              <w:rPr>
                <w:sz w:val="20"/>
              </w:rPr>
              <w:t>0.00</w:t>
            </w:r>
          </w:p>
        </w:tc>
        <w:tc>
          <w:tcPr>
            <w:tcW w:w="339" w:type="pct"/>
            <w:tcBorders>
              <w:top w:val="single" w:sz="4" w:space="0" w:color="auto"/>
              <w:left w:val="nil"/>
              <w:bottom w:val="nil"/>
              <w:right w:val="nil"/>
            </w:tcBorders>
            <w:shd w:val="clear" w:color="auto" w:fill="auto"/>
            <w:noWrap/>
            <w:vAlign w:val="center"/>
            <w:hideMark/>
          </w:tcPr>
          <w:p w14:paraId="54EDA287" w14:textId="77777777" w:rsidR="00E3226F" w:rsidRPr="006E5612" w:rsidRDefault="00E3226F" w:rsidP="00CB5559">
            <w:pPr>
              <w:keepNext/>
              <w:spacing w:after="0"/>
              <w:jc w:val="right"/>
            </w:pPr>
            <w:r w:rsidRPr="006E5612">
              <w:t>4,226</w:t>
            </w:r>
          </w:p>
        </w:tc>
        <w:tc>
          <w:tcPr>
            <w:tcW w:w="769" w:type="pct"/>
            <w:gridSpan w:val="2"/>
            <w:tcBorders>
              <w:top w:val="single" w:sz="4" w:space="0" w:color="auto"/>
              <w:left w:val="nil"/>
              <w:bottom w:val="nil"/>
              <w:right w:val="nil"/>
            </w:tcBorders>
            <w:shd w:val="clear" w:color="auto" w:fill="auto"/>
            <w:noWrap/>
            <w:vAlign w:val="bottom"/>
            <w:hideMark/>
          </w:tcPr>
          <w:p w14:paraId="3B80E824" w14:textId="77777777" w:rsidR="00E3226F" w:rsidRPr="006E5612" w:rsidRDefault="00E3226F" w:rsidP="00CB5559">
            <w:pPr>
              <w:keepNext/>
              <w:spacing w:after="0"/>
              <w:jc w:val="right"/>
            </w:pPr>
            <w:r w:rsidRPr="006E5612">
              <w:t>1%</w:t>
            </w:r>
          </w:p>
        </w:tc>
        <w:tc>
          <w:tcPr>
            <w:tcW w:w="403" w:type="pct"/>
            <w:tcBorders>
              <w:top w:val="single" w:sz="4" w:space="0" w:color="auto"/>
              <w:left w:val="nil"/>
              <w:bottom w:val="nil"/>
              <w:right w:val="nil"/>
            </w:tcBorders>
            <w:shd w:val="clear" w:color="auto" w:fill="auto"/>
            <w:noWrap/>
            <w:vAlign w:val="center"/>
            <w:hideMark/>
          </w:tcPr>
          <w:p w14:paraId="5B567FCC" w14:textId="77777777" w:rsidR="00E3226F" w:rsidRPr="006E5612" w:rsidRDefault="00E3226F" w:rsidP="00CB5559">
            <w:pPr>
              <w:keepNext/>
              <w:spacing w:after="0"/>
              <w:jc w:val="right"/>
            </w:pPr>
            <w:r w:rsidRPr="006E5612">
              <w:t>7,979</w:t>
            </w:r>
          </w:p>
        </w:tc>
        <w:tc>
          <w:tcPr>
            <w:tcW w:w="719" w:type="pct"/>
            <w:tcBorders>
              <w:top w:val="single" w:sz="4" w:space="0" w:color="auto"/>
              <w:left w:val="nil"/>
              <w:bottom w:val="nil"/>
              <w:right w:val="nil"/>
            </w:tcBorders>
            <w:shd w:val="clear" w:color="auto" w:fill="auto"/>
            <w:noWrap/>
            <w:vAlign w:val="bottom"/>
            <w:hideMark/>
          </w:tcPr>
          <w:p w14:paraId="2071A355" w14:textId="77777777" w:rsidR="00E3226F" w:rsidRPr="006E5612" w:rsidRDefault="00E3226F" w:rsidP="00CB5559">
            <w:pPr>
              <w:keepNext/>
              <w:spacing w:after="0"/>
              <w:jc w:val="right"/>
            </w:pPr>
            <w:r w:rsidRPr="006E5612">
              <w:t>96%</w:t>
            </w:r>
          </w:p>
        </w:tc>
        <w:tc>
          <w:tcPr>
            <w:tcW w:w="403" w:type="pct"/>
            <w:tcBorders>
              <w:top w:val="single" w:sz="4" w:space="0" w:color="auto"/>
              <w:left w:val="nil"/>
              <w:bottom w:val="nil"/>
              <w:right w:val="nil"/>
            </w:tcBorders>
            <w:shd w:val="clear" w:color="auto" w:fill="auto"/>
            <w:noWrap/>
            <w:vAlign w:val="center"/>
            <w:hideMark/>
          </w:tcPr>
          <w:p w14:paraId="4293AEC6" w14:textId="77777777" w:rsidR="00E3226F" w:rsidRPr="006E5612" w:rsidRDefault="00E3226F" w:rsidP="00CB5559">
            <w:pPr>
              <w:keepNext/>
              <w:spacing w:after="0"/>
              <w:jc w:val="right"/>
            </w:pPr>
            <w:r w:rsidRPr="006E5612">
              <w:t>8,949</w:t>
            </w:r>
          </w:p>
        </w:tc>
        <w:tc>
          <w:tcPr>
            <w:tcW w:w="724" w:type="pct"/>
            <w:tcBorders>
              <w:top w:val="single" w:sz="4" w:space="0" w:color="auto"/>
              <w:left w:val="nil"/>
              <w:bottom w:val="nil"/>
              <w:right w:val="nil"/>
            </w:tcBorders>
            <w:shd w:val="clear" w:color="auto" w:fill="auto"/>
            <w:noWrap/>
            <w:vAlign w:val="bottom"/>
            <w:hideMark/>
          </w:tcPr>
          <w:p w14:paraId="36A4B2EE" w14:textId="77777777" w:rsidR="00E3226F" w:rsidRPr="006E5612" w:rsidRDefault="00E3226F" w:rsidP="00CB5559">
            <w:pPr>
              <w:keepNext/>
              <w:spacing w:after="0"/>
              <w:jc w:val="right"/>
            </w:pPr>
            <w:r w:rsidRPr="006E5612">
              <w:t>96%</w:t>
            </w:r>
          </w:p>
        </w:tc>
        <w:tc>
          <w:tcPr>
            <w:tcW w:w="490" w:type="pct"/>
            <w:tcBorders>
              <w:top w:val="single" w:sz="4" w:space="0" w:color="auto"/>
              <w:left w:val="nil"/>
              <w:bottom w:val="nil"/>
              <w:right w:val="nil"/>
            </w:tcBorders>
            <w:shd w:val="clear" w:color="auto" w:fill="auto"/>
            <w:noWrap/>
            <w:vAlign w:val="bottom"/>
            <w:hideMark/>
          </w:tcPr>
          <w:p w14:paraId="6771157F" w14:textId="77777777" w:rsidR="00E3226F" w:rsidRPr="0072709A" w:rsidRDefault="00E3226F" w:rsidP="00CB5559">
            <w:pPr>
              <w:keepNext/>
              <w:spacing w:after="0"/>
              <w:jc w:val="right"/>
              <w:rPr>
                <w:sz w:val="20"/>
              </w:rPr>
            </w:pPr>
            <w:r w:rsidRPr="006E5612">
              <w:t>0</w:t>
            </w:r>
          </w:p>
        </w:tc>
        <w:tc>
          <w:tcPr>
            <w:tcW w:w="490" w:type="pct"/>
            <w:tcBorders>
              <w:top w:val="single" w:sz="4" w:space="0" w:color="auto"/>
              <w:left w:val="nil"/>
              <w:bottom w:val="nil"/>
              <w:right w:val="nil"/>
            </w:tcBorders>
            <w:shd w:val="clear" w:color="auto" w:fill="auto"/>
            <w:noWrap/>
            <w:vAlign w:val="bottom"/>
            <w:hideMark/>
          </w:tcPr>
          <w:p w14:paraId="78529C73" w14:textId="77777777" w:rsidR="00E3226F" w:rsidRPr="0072709A" w:rsidRDefault="00E3226F" w:rsidP="00CB5559">
            <w:pPr>
              <w:keepNext/>
              <w:spacing w:after="0"/>
              <w:jc w:val="right"/>
              <w:rPr>
                <w:sz w:val="20"/>
              </w:rPr>
            </w:pPr>
            <w:r w:rsidRPr="006E5612">
              <w:t>0</w:t>
            </w:r>
          </w:p>
        </w:tc>
      </w:tr>
      <w:tr w:rsidR="00E3226F" w:rsidRPr="0072709A" w14:paraId="1507B233" w14:textId="77777777" w:rsidTr="00CB5559">
        <w:trPr>
          <w:cantSplit/>
        </w:trPr>
        <w:tc>
          <w:tcPr>
            <w:tcW w:w="662" w:type="pct"/>
            <w:tcBorders>
              <w:top w:val="nil"/>
              <w:left w:val="nil"/>
              <w:bottom w:val="nil"/>
              <w:right w:val="nil"/>
            </w:tcBorders>
            <w:shd w:val="clear" w:color="auto" w:fill="auto"/>
            <w:noWrap/>
            <w:vAlign w:val="bottom"/>
          </w:tcPr>
          <w:p w14:paraId="495A9823" w14:textId="77777777" w:rsidR="00E3226F" w:rsidRPr="0072709A" w:rsidRDefault="00E3226F" w:rsidP="00CB5559">
            <w:pPr>
              <w:keepNext/>
              <w:spacing w:after="0"/>
              <w:jc w:val="center"/>
              <w:rPr>
                <w:sz w:val="20"/>
              </w:rPr>
            </w:pPr>
            <w:r>
              <w:rPr>
                <w:sz w:val="20"/>
              </w:rPr>
              <w:t>0.50</w:t>
            </w:r>
          </w:p>
        </w:tc>
        <w:tc>
          <w:tcPr>
            <w:tcW w:w="339" w:type="pct"/>
            <w:tcBorders>
              <w:top w:val="nil"/>
              <w:left w:val="nil"/>
              <w:bottom w:val="nil"/>
              <w:right w:val="nil"/>
            </w:tcBorders>
            <w:shd w:val="clear" w:color="auto" w:fill="auto"/>
            <w:noWrap/>
            <w:vAlign w:val="center"/>
          </w:tcPr>
          <w:p w14:paraId="338B5F2A" w14:textId="77777777" w:rsidR="00E3226F" w:rsidRPr="006E5612" w:rsidRDefault="00E3226F" w:rsidP="00CB5559">
            <w:pPr>
              <w:keepNext/>
              <w:spacing w:after="0"/>
              <w:jc w:val="right"/>
            </w:pPr>
            <w:r w:rsidRPr="006E5612">
              <w:t>3,901</w:t>
            </w:r>
          </w:p>
        </w:tc>
        <w:tc>
          <w:tcPr>
            <w:tcW w:w="769" w:type="pct"/>
            <w:gridSpan w:val="2"/>
            <w:tcBorders>
              <w:top w:val="nil"/>
              <w:left w:val="nil"/>
              <w:bottom w:val="nil"/>
              <w:right w:val="nil"/>
            </w:tcBorders>
            <w:shd w:val="clear" w:color="auto" w:fill="auto"/>
            <w:noWrap/>
            <w:vAlign w:val="bottom"/>
          </w:tcPr>
          <w:p w14:paraId="04CEB00B" w14:textId="77777777" w:rsidR="00E3226F" w:rsidRPr="006E5612" w:rsidRDefault="00E3226F" w:rsidP="00CB5559">
            <w:pPr>
              <w:keepNext/>
              <w:spacing w:after="0"/>
              <w:jc w:val="right"/>
            </w:pPr>
            <w:r w:rsidRPr="006E5612">
              <w:t>0%</w:t>
            </w:r>
          </w:p>
        </w:tc>
        <w:tc>
          <w:tcPr>
            <w:tcW w:w="403" w:type="pct"/>
            <w:tcBorders>
              <w:top w:val="nil"/>
              <w:left w:val="nil"/>
              <w:bottom w:val="nil"/>
              <w:right w:val="nil"/>
            </w:tcBorders>
            <w:shd w:val="clear" w:color="auto" w:fill="auto"/>
            <w:noWrap/>
            <w:vAlign w:val="center"/>
          </w:tcPr>
          <w:p w14:paraId="08444B0D" w14:textId="77777777" w:rsidR="00E3226F" w:rsidRPr="006E5612" w:rsidRDefault="00E3226F" w:rsidP="00CB5559">
            <w:pPr>
              <w:keepNext/>
              <w:spacing w:after="0"/>
              <w:jc w:val="right"/>
            </w:pPr>
            <w:r w:rsidRPr="006E5612">
              <w:t>5,257</w:t>
            </w:r>
          </w:p>
        </w:tc>
        <w:tc>
          <w:tcPr>
            <w:tcW w:w="719" w:type="pct"/>
            <w:tcBorders>
              <w:top w:val="nil"/>
              <w:left w:val="nil"/>
              <w:bottom w:val="nil"/>
              <w:right w:val="nil"/>
            </w:tcBorders>
            <w:shd w:val="clear" w:color="auto" w:fill="auto"/>
            <w:noWrap/>
            <w:vAlign w:val="bottom"/>
          </w:tcPr>
          <w:p w14:paraId="3EFFD5EA" w14:textId="77777777" w:rsidR="00E3226F" w:rsidRPr="006E5612" w:rsidRDefault="00E3226F" w:rsidP="00CB5559">
            <w:pPr>
              <w:keepNext/>
              <w:spacing w:after="0"/>
              <w:jc w:val="right"/>
            </w:pPr>
            <w:r w:rsidRPr="006E5612">
              <w:t>41%</w:t>
            </w:r>
          </w:p>
        </w:tc>
        <w:tc>
          <w:tcPr>
            <w:tcW w:w="403" w:type="pct"/>
            <w:tcBorders>
              <w:top w:val="nil"/>
              <w:left w:val="nil"/>
              <w:bottom w:val="nil"/>
              <w:right w:val="nil"/>
            </w:tcBorders>
            <w:shd w:val="clear" w:color="auto" w:fill="auto"/>
            <w:noWrap/>
            <w:vAlign w:val="center"/>
          </w:tcPr>
          <w:p w14:paraId="77BE4194" w14:textId="77777777" w:rsidR="00E3226F" w:rsidRPr="006E5612" w:rsidRDefault="00E3226F" w:rsidP="00CB5559">
            <w:pPr>
              <w:keepNext/>
              <w:spacing w:after="0"/>
              <w:jc w:val="right"/>
            </w:pPr>
            <w:r w:rsidRPr="006E5612">
              <w:t>5,217</w:t>
            </w:r>
          </w:p>
        </w:tc>
        <w:tc>
          <w:tcPr>
            <w:tcW w:w="724" w:type="pct"/>
            <w:tcBorders>
              <w:top w:val="nil"/>
              <w:left w:val="nil"/>
              <w:bottom w:val="nil"/>
              <w:right w:val="nil"/>
            </w:tcBorders>
            <w:shd w:val="clear" w:color="auto" w:fill="auto"/>
            <w:noWrap/>
            <w:vAlign w:val="bottom"/>
          </w:tcPr>
          <w:p w14:paraId="58E6C738" w14:textId="77777777" w:rsidR="00E3226F" w:rsidRPr="006E5612" w:rsidRDefault="00E3226F" w:rsidP="00CB5559">
            <w:pPr>
              <w:keepNext/>
              <w:spacing w:after="0"/>
              <w:jc w:val="right"/>
            </w:pPr>
            <w:r w:rsidRPr="006E5612">
              <w:t>41%</w:t>
            </w:r>
          </w:p>
        </w:tc>
        <w:tc>
          <w:tcPr>
            <w:tcW w:w="490" w:type="pct"/>
            <w:tcBorders>
              <w:top w:val="nil"/>
              <w:left w:val="nil"/>
              <w:bottom w:val="nil"/>
              <w:right w:val="nil"/>
            </w:tcBorders>
            <w:shd w:val="clear" w:color="auto" w:fill="auto"/>
            <w:noWrap/>
            <w:vAlign w:val="bottom"/>
          </w:tcPr>
          <w:p w14:paraId="2875A44F" w14:textId="77777777" w:rsidR="00E3226F" w:rsidRPr="0072709A" w:rsidRDefault="00E3226F" w:rsidP="00CB5559">
            <w:pPr>
              <w:keepNext/>
              <w:spacing w:after="0"/>
              <w:jc w:val="right"/>
              <w:rPr>
                <w:sz w:val="20"/>
              </w:rPr>
            </w:pPr>
            <w:r w:rsidRPr="006E5612">
              <w:t>240</w:t>
            </w:r>
          </w:p>
        </w:tc>
        <w:tc>
          <w:tcPr>
            <w:tcW w:w="490" w:type="pct"/>
            <w:tcBorders>
              <w:top w:val="nil"/>
              <w:left w:val="nil"/>
              <w:bottom w:val="nil"/>
              <w:right w:val="nil"/>
            </w:tcBorders>
            <w:shd w:val="clear" w:color="auto" w:fill="auto"/>
            <w:noWrap/>
            <w:vAlign w:val="bottom"/>
          </w:tcPr>
          <w:p w14:paraId="442D32EE" w14:textId="77777777" w:rsidR="00E3226F" w:rsidRPr="0072709A" w:rsidRDefault="00E3226F" w:rsidP="00CB5559">
            <w:pPr>
              <w:keepNext/>
              <w:spacing w:after="0"/>
              <w:jc w:val="right"/>
              <w:rPr>
                <w:sz w:val="20"/>
              </w:rPr>
            </w:pPr>
            <w:r w:rsidRPr="006E5612">
              <w:t>300</w:t>
            </w:r>
          </w:p>
        </w:tc>
      </w:tr>
      <w:tr w:rsidR="00E3226F" w:rsidRPr="0072709A" w14:paraId="4662F3BD" w14:textId="77777777" w:rsidTr="00CB5559">
        <w:trPr>
          <w:cantSplit/>
        </w:trPr>
        <w:tc>
          <w:tcPr>
            <w:tcW w:w="662" w:type="pct"/>
            <w:tcBorders>
              <w:top w:val="nil"/>
              <w:left w:val="nil"/>
              <w:bottom w:val="nil"/>
              <w:right w:val="nil"/>
            </w:tcBorders>
            <w:shd w:val="clear" w:color="auto" w:fill="auto"/>
            <w:noWrap/>
            <w:vAlign w:val="bottom"/>
            <w:hideMark/>
          </w:tcPr>
          <w:p w14:paraId="634C0AEB" w14:textId="77777777" w:rsidR="00E3226F" w:rsidRPr="0072709A" w:rsidRDefault="00E3226F" w:rsidP="00CB5559">
            <w:pPr>
              <w:keepNext/>
              <w:spacing w:after="0"/>
              <w:jc w:val="center"/>
              <w:rPr>
                <w:sz w:val="20"/>
              </w:rPr>
            </w:pPr>
            <w:r w:rsidRPr="0072709A">
              <w:rPr>
                <w:sz w:val="20"/>
              </w:rPr>
              <w:t>0.75</w:t>
            </w:r>
          </w:p>
        </w:tc>
        <w:tc>
          <w:tcPr>
            <w:tcW w:w="339" w:type="pct"/>
            <w:tcBorders>
              <w:top w:val="nil"/>
              <w:left w:val="nil"/>
              <w:bottom w:val="nil"/>
              <w:right w:val="nil"/>
            </w:tcBorders>
            <w:shd w:val="clear" w:color="auto" w:fill="auto"/>
            <w:noWrap/>
            <w:vAlign w:val="center"/>
            <w:hideMark/>
          </w:tcPr>
          <w:p w14:paraId="774BC2A4" w14:textId="77777777" w:rsidR="00E3226F" w:rsidRPr="006E5612" w:rsidRDefault="00E3226F" w:rsidP="00CB5559">
            <w:pPr>
              <w:keepNext/>
              <w:spacing w:after="0"/>
              <w:jc w:val="right"/>
            </w:pPr>
            <w:r w:rsidRPr="006E5612">
              <w:t>3,753</w:t>
            </w:r>
          </w:p>
        </w:tc>
        <w:tc>
          <w:tcPr>
            <w:tcW w:w="769" w:type="pct"/>
            <w:gridSpan w:val="2"/>
            <w:tcBorders>
              <w:top w:val="nil"/>
              <w:left w:val="nil"/>
              <w:bottom w:val="nil"/>
              <w:right w:val="nil"/>
            </w:tcBorders>
            <w:shd w:val="clear" w:color="auto" w:fill="auto"/>
            <w:noWrap/>
            <w:vAlign w:val="bottom"/>
            <w:hideMark/>
          </w:tcPr>
          <w:p w14:paraId="307715A6" w14:textId="77777777" w:rsidR="00E3226F" w:rsidRPr="006E5612" w:rsidRDefault="00E3226F" w:rsidP="00CB5559">
            <w:pPr>
              <w:keepNext/>
              <w:spacing w:after="0"/>
              <w:jc w:val="right"/>
            </w:pPr>
            <w:r w:rsidRPr="006E5612">
              <w:t>0%</w:t>
            </w:r>
          </w:p>
        </w:tc>
        <w:tc>
          <w:tcPr>
            <w:tcW w:w="403" w:type="pct"/>
            <w:tcBorders>
              <w:top w:val="nil"/>
              <w:left w:val="nil"/>
              <w:bottom w:val="nil"/>
              <w:right w:val="nil"/>
            </w:tcBorders>
            <w:shd w:val="clear" w:color="auto" w:fill="auto"/>
            <w:noWrap/>
            <w:vAlign w:val="center"/>
            <w:hideMark/>
          </w:tcPr>
          <w:p w14:paraId="638655BF" w14:textId="77777777" w:rsidR="00E3226F" w:rsidRPr="006E5612" w:rsidRDefault="00E3226F" w:rsidP="00CB5559">
            <w:pPr>
              <w:keepNext/>
              <w:spacing w:after="0"/>
              <w:jc w:val="right"/>
            </w:pPr>
            <w:r w:rsidRPr="006E5612">
              <w:t>4,396</w:t>
            </w:r>
          </w:p>
        </w:tc>
        <w:tc>
          <w:tcPr>
            <w:tcW w:w="719" w:type="pct"/>
            <w:tcBorders>
              <w:top w:val="nil"/>
              <w:left w:val="nil"/>
              <w:bottom w:val="nil"/>
              <w:right w:val="nil"/>
            </w:tcBorders>
            <w:shd w:val="clear" w:color="auto" w:fill="auto"/>
            <w:noWrap/>
            <w:vAlign w:val="bottom"/>
            <w:hideMark/>
          </w:tcPr>
          <w:p w14:paraId="3394756D" w14:textId="77777777" w:rsidR="00E3226F" w:rsidRPr="006E5612" w:rsidRDefault="00E3226F" w:rsidP="00CB5559">
            <w:pPr>
              <w:keepNext/>
              <w:spacing w:after="0"/>
              <w:jc w:val="right"/>
            </w:pPr>
            <w:r w:rsidRPr="006E5612">
              <w:t>14%</w:t>
            </w:r>
          </w:p>
        </w:tc>
        <w:tc>
          <w:tcPr>
            <w:tcW w:w="403" w:type="pct"/>
            <w:tcBorders>
              <w:top w:val="nil"/>
              <w:left w:val="nil"/>
              <w:bottom w:val="nil"/>
              <w:right w:val="nil"/>
            </w:tcBorders>
            <w:shd w:val="clear" w:color="auto" w:fill="auto"/>
            <w:noWrap/>
            <w:vAlign w:val="center"/>
            <w:hideMark/>
          </w:tcPr>
          <w:p w14:paraId="6169A5CC" w14:textId="77777777" w:rsidR="00E3226F" w:rsidRPr="006E5612" w:rsidRDefault="00E3226F" w:rsidP="00CB5559">
            <w:pPr>
              <w:keepNext/>
              <w:spacing w:after="0"/>
              <w:jc w:val="right"/>
            </w:pPr>
            <w:r w:rsidRPr="006E5612">
              <w:t>4,207</w:t>
            </w:r>
          </w:p>
        </w:tc>
        <w:tc>
          <w:tcPr>
            <w:tcW w:w="724" w:type="pct"/>
            <w:tcBorders>
              <w:top w:val="nil"/>
              <w:left w:val="nil"/>
              <w:bottom w:val="nil"/>
              <w:right w:val="nil"/>
            </w:tcBorders>
            <w:shd w:val="clear" w:color="auto" w:fill="auto"/>
            <w:noWrap/>
            <w:vAlign w:val="bottom"/>
            <w:hideMark/>
          </w:tcPr>
          <w:p w14:paraId="2D0A5CBA" w14:textId="77777777" w:rsidR="00E3226F" w:rsidRPr="006E5612" w:rsidRDefault="00E3226F" w:rsidP="00CB5559">
            <w:pPr>
              <w:keepNext/>
              <w:spacing w:after="0"/>
              <w:jc w:val="right"/>
            </w:pPr>
            <w:r w:rsidRPr="006E5612">
              <w:t>14%</w:t>
            </w:r>
          </w:p>
        </w:tc>
        <w:tc>
          <w:tcPr>
            <w:tcW w:w="490" w:type="pct"/>
            <w:tcBorders>
              <w:top w:val="nil"/>
              <w:left w:val="nil"/>
              <w:bottom w:val="nil"/>
              <w:right w:val="nil"/>
            </w:tcBorders>
            <w:shd w:val="clear" w:color="auto" w:fill="auto"/>
            <w:noWrap/>
            <w:vAlign w:val="bottom"/>
            <w:hideMark/>
          </w:tcPr>
          <w:p w14:paraId="01940857" w14:textId="77777777" w:rsidR="00E3226F" w:rsidRPr="0072709A" w:rsidRDefault="00E3226F" w:rsidP="00CB5559">
            <w:pPr>
              <w:keepNext/>
              <w:spacing w:after="0"/>
              <w:jc w:val="right"/>
              <w:rPr>
                <w:sz w:val="20"/>
              </w:rPr>
            </w:pPr>
            <w:r w:rsidRPr="006E5612">
              <w:t>350</w:t>
            </w:r>
          </w:p>
        </w:tc>
        <w:tc>
          <w:tcPr>
            <w:tcW w:w="490" w:type="pct"/>
            <w:tcBorders>
              <w:top w:val="nil"/>
              <w:left w:val="nil"/>
              <w:bottom w:val="nil"/>
              <w:right w:val="nil"/>
            </w:tcBorders>
            <w:shd w:val="clear" w:color="auto" w:fill="auto"/>
            <w:noWrap/>
            <w:vAlign w:val="bottom"/>
            <w:hideMark/>
          </w:tcPr>
          <w:p w14:paraId="2710B0FF" w14:textId="77777777" w:rsidR="00E3226F" w:rsidRPr="0072709A" w:rsidRDefault="00E3226F" w:rsidP="00CB5559">
            <w:pPr>
              <w:keepNext/>
              <w:spacing w:after="0"/>
              <w:jc w:val="right"/>
              <w:rPr>
                <w:sz w:val="20"/>
              </w:rPr>
            </w:pPr>
            <w:r w:rsidRPr="006E5612">
              <w:t>430</w:t>
            </w:r>
          </w:p>
        </w:tc>
      </w:tr>
      <w:tr w:rsidR="00E3226F" w:rsidRPr="0072709A" w14:paraId="5F25D7E9" w14:textId="77777777" w:rsidTr="00CB5559">
        <w:trPr>
          <w:cantSplit/>
        </w:trPr>
        <w:tc>
          <w:tcPr>
            <w:tcW w:w="662" w:type="pct"/>
            <w:tcBorders>
              <w:top w:val="nil"/>
              <w:left w:val="nil"/>
              <w:right w:val="nil"/>
            </w:tcBorders>
            <w:shd w:val="clear" w:color="auto" w:fill="auto"/>
            <w:noWrap/>
            <w:vAlign w:val="bottom"/>
            <w:hideMark/>
          </w:tcPr>
          <w:p w14:paraId="5D2D7B7A" w14:textId="77777777" w:rsidR="00E3226F" w:rsidRPr="0072709A" w:rsidRDefault="00E3226F" w:rsidP="00CB5559">
            <w:pPr>
              <w:keepNext/>
              <w:spacing w:after="0"/>
              <w:jc w:val="center"/>
              <w:rPr>
                <w:sz w:val="20"/>
              </w:rPr>
            </w:pPr>
            <w:r w:rsidRPr="0072709A">
              <w:rPr>
                <w:sz w:val="20"/>
              </w:rPr>
              <w:t>1.00</w:t>
            </w:r>
          </w:p>
        </w:tc>
        <w:tc>
          <w:tcPr>
            <w:tcW w:w="339" w:type="pct"/>
            <w:tcBorders>
              <w:top w:val="nil"/>
              <w:left w:val="nil"/>
              <w:right w:val="nil"/>
            </w:tcBorders>
            <w:shd w:val="clear" w:color="auto" w:fill="auto"/>
            <w:noWrap/>
            <w:vAlign w:val="center"/>
            <w:hideMark/>
          </w:tcPr>
          <w:p w14:paraId="34E6E95D" w14:textId="77777777" w:rsidR="00E3226F" w:rsidRPr="006E5612" w:rsidRDefault="00E3226F" w:rsidP="00CB5559">
            <w:pPr>
              <w:keepNext/>
              <w:spacing w:after="0"/>
              <w:jc w:val="right"/>
            </w:pPr>
            <w:r w:rsidRPr="006E5612">
              <w:t>3,613</w:t>
            </w:r>
          </w:p>
        </w:tc>
        <w:tc>
          <w:tcPr>
            <w:tcW w:w="769" w:type="pct"/>
            <w:gridSpan w:val="2"/>
            <w:tcBorders>
              <w:top w:val="nil"/>
              <w:left w:val="nil"/>
              <w:right w:val="nil"/>
            </w:tcBorders>
            <w:shd w:val="clear" w:color="auto" w:fill="auto"/>
            <w:noWrap/>
            <w:vAlign w:val="bottom"/>
            <w:hideMark/>
          </w:tcPr>
          <w:p w14:paraId="199359CC" w14:textId="77777777" w:rsidR="00E3226F" w:rsidRPr="006E5612" w:rsidRDefault="00E3226F" w:rsidP="00CB5559">
            <w:pPr>
              <w:keepNext/>
              <w:spacing w:after="0"/>
              <w:jc w:val="right"/>
            </w:pPr>
            <w:r w:rsidRPr="006E5612">
              <w:t>0%</w:t>
            </w:r>
          </w:p>
        </w:tc>
        <w:tc>
          <w:tcPr>
            <w:tcW w:w="403" w:type="pct"/>
            <w:tcBorders>
              <w:top w:val="nil"/>
              <w:left w:val="nil"/>
              <w:right w:val="nil"/>
            </w:tcBorders>
            <w:shd w:val="clear" w:color="auto" w:fill="auto"/>
            <w:noWrap/>
            <w:vAlign w:val="center"/>
            <w:hideMark/>
          </w:tcPr>
          <w:p w14:paraId="44E8A5C0" w14:textId="77777777" w:rsidR="00E3226F" w:rsidRPr="006E5612" w:rsidRDefault="00E3226F" w:rsidP="00CB5559">
            <w:pPr>
              <w:keepNext/>
              <w:spacing w:after="0"/>
              <w:jc w:val="right"/>
            </w:pPr>
            <w:r w:rsidRPr="006E5612">
              <w:t>3,737</w:t>
            </w:r>
          </w:p>
        </w:tc>
        <w:tc>
          <w:tcPr>
            <w:tcW w:w="719" w:type="pct"/>
            <w:tcBorders>
              <w:top w:val="nil"/>
              <w:left w:val="nil"/>
              <w:right w:val="nil"/>
            </w:tcBorders>
            <w:shd w:val="clear" w:color="auto" w:fill="auto"/>
            <w:noWrap/>
            <w:vAlign w:val="bottom"/>
            <w:hideMark/>
          </w:tcPr>
          <w:p w14:paraId="2C2B8AE5" w14:textId="77777777" w:rsidR="00E3226F" w:rsidRPr="006E5612" w:rsidRDefault="00E3226F" w:rsidP="00CB5559">
            <w:pPr>
              <w:keepNext/>
              <w:spacing w:after="0"/>
              <w:jc w:val="right"/>
            </w:pPr>
            <w:r w:rsidRPr="006E5612">
              <w:t>3%</w:t>
            </w:r>
          </w:p>
        </w:tc>
        <w:tc>
          <w:tcPr>
            <w:tcW w:w="403" w:type="pct"/>
            <w:tcBorders>
              <w:top w:val="nil"/>
              <w:left w:val="nil"/>
              <w:right w:val="nil"/>
            </w:tcBorders>
            <w:shd w:val="clear" w:color="auto" w:fill="auto"/>
            <w:noWrap/>
            <w:vAlign w:val="center"/>
            <w:hideMark/>
          </w:tcPr>
          <w:p w14:paraId="1D7C4C5C" w14:textId="77777777" w:rsidR="00E3226F" w:rsidRPr="006E5612" w:rsidRDefault="00E3226F" w:rsidP="00CB5559">
            <w:pPr>
              <w:keepNext/>
              <w:spacing w:after="0"/>
              <w:jc w:val="right"/>
            </w:pPr>
            <w:r w:rsidRPr="006E5612">
              <w:t>3,473</w:t>
            </w:r>
          </w:p>
        </w:tc>
        <w:tc>
          <w:tcPr>
            <w:tcW w:w="724" w:type="pct"/>
            <w:tcBorders>
              <w:top w:val="nil"/>
              <w:left w:val="nil"/>
              <w:right w:val="nil"/>
            </w:tcBorders>
            <w:shd w:val="clear" w:color="auto" w:fill="auto"/>
            <w:noWrap/>
            <w:vAlign w:val="bottom"/>
            <w:hideMark/>
          </w:tcPr>
          <w:p w14:paraId="448A1EBE" w14:textId="77777777" w:rsidR="00E3226F" w:rsidRPr="006E5612" w:rsidRDefault="00E3226F" w:rsidP="00CB5559">
            <w:pPr>
              <w:keepNext/>
              <w:spacing w:after="0"/>
              <w:jc w:val="right"/>
            </w:pPr>
            <w:r w:rsidRPr="006E5612">
              <w:t>3%</w:t>
            </w:r>
          </w:p>
        </w:tc>
        <w:tc>
          <w:tcPr>
            <w:tcW w:w="490" w:type="pct"/>
            <w:tcBorders>
              <w:top w:val="nil"/>
              <w:left w:val="nil"/>
              <w:right w:val="nil"/>
            </w:tcBorders>
            <w:shd w:val="clear" w:color="auto" w:fill="auto"/>
            <w:noWrap/>
            <w:vAlign w:val="bottom"/>
            <w:hideMark/>
          </w:tcPr>
          <w:p w14:paraId="01CA3725" w14:textId="77777777" w:rsidR="00E3226F" w:rsidRPr="0072709A" w:rsidRDefault="00E3226F" w:rsidP="00CB5559">
            <w:pPr>
              <w:keepNext/>
              <w:spacing w:after="0"/>
              <w:jc w:val="right"/>
              <w:rPr>
                <w:sz w:val="20"/>
              </w:rPr>
            </w:pPr>
            <w:r w:rsidRPr="006E5612">
              <w:t>460</w:t>
            </w:r>
          </w:p>
        </w:tc>
        <w:tc>
          <w:tcPr>
            <w:tcW w:w="490" w:type="pct"/>
            <w:tcBorders>
              <w:top w:val="nil"/>
              <w:left w:val="nil"/>
              <w:right w:val="nil"/>
            </w:tcBorders>
            <w:shd w:val="clear" w:color="auto" w:fill="auto"/>
            <w:noWrap/>
            <w:vAlign w:val="bottom"/>
            <w:hideMark/>
          </w:tcPr>
          <w:p w14:paraId="45B22AEE" w14:textId="77777777" w:rsidR="00E3226F" w:rsidRPr="0072709A" w:rsidRDefault="00E3226F" w:rsidP="00CB5559">
            <w:pPr>
              <w:keepNext/>
              <w:spacing w:after="0"/>
              <w:jc w:val="right"/>
              <w:rPr>
                <w:sz w:val="20"/>
              </w:rPr>
            </w:pPr>
            <w:r w:rsidRPr="006E5612">
              <w:t>550</w:t>
            </w:r>
          </w:p>
        </w:tc>
      </w:tr>
      <w:tr w:rsidR="00E3226F" w:rsidRPr="0072709A" w14:paraId="0719F205" w14:textId="77777777" w:rsidTr="00CB5559">
        <w:trPr>
          <w:cantSplit/>
        </w:trPr>
        <w:tc>
          <w:tcPr>
            <w:tcW w:w="662" w:type="pct"/>
            <w:tcBorders>
              <w:top w:val="nil"/>
              <w:left w:val="nil"/>
              <w:bottom w:val="single" w:sz="4" w:space="0" w:color="auto"/>
              <w:right w:val="nil"/>
            </w:tcBorders>
            <w:shd w:val="clear" w:color="auto" w:fill="auto"/>
            <w:noWrap/>
            <w:vAlign w:val="bottom"/>
            <w:hideMark/>
          </w:tcPr>
          <w:p w14:paraId="49D8E241" w14:textId="77777777" w:rsidR="00E3226F" w:rsidRPr="0072709A" w:rsidRDefault="00E3226F" w:rsidP="00CB5559">
            <w:pPr>
              <w:keepNext/>
              <w:spacing w:after="0"/>
              <w:jc w:val="center"/>
              <w:rPr>
                <w:sz w:val="20"/>
              </w:rPr>
            </w:pPr>
            <w:r w:rsidRPr="0072709A">
              <w:rPr>
                <w:sz w:val="20"/>
              </w:rPr>
              <w:t>1.25</w:t>
            </w:r>
          </w:p>
        </w:tc>
        <w:tc>
          <w:tcPr>
            <w:tcW w:w="339" w:type="pct"/>
            <w:tcBorders>
              <w:top w:val="nil"/>
              <w:left w:val="nil"/>
              <w:bottom w:val="single" w:sz="4" w:space="0" w:color="auto"/>
              <w:right w:val="nil"/>
            </w:tcBorders>
            <w:shd w:val="clear" w:color="auto" w:fill="auto"/>
            <w:noWrap/>
            <w:vAlign w:val="center"/>
            <w:hideMark/>
          </w:tcPr>
          <w:p w14:paraId="206CC4F0" w14:textId="77777777" w:rsidR="00E3226F" w:rsidRPr="006E5612" w:rsidRDefault="00E3226F" w:rsidP="00CB5559">
            <w:pPr>
              <w:keepNext/>
              <w:spacing w:after="0"/>
              <w:jc w:val="right"/>
            </w:pPr>
            <w:r w:rsidRPr="006E5612">
              <w:t>3,481</w:t>
            </w:r>
          </w:p>
        </w:tc>
        <w:tc>
          <w:tcPr>
            <w:tcW w:w="769" w:type="pct"/>
            <w:gridSpan w:val="2"/>
            <w:tcBorders>
              <w:top w:val="nil"/>
              <w:left w:val="nil"/>
              <w:bottom w:val="single" w:sz="4" w:space="0" w:color="auto"/>
              <w:right w:val="nil"/>
            </w:tcBorders>
            <w:shd w:val="clear" w:color="auto" w:fill="auto"/>
            <w:noWrap/>
            <w:vAlign w:val="bottom"/>
            <w:hideMark/>
          </w:tcPr>
          <w:p w14:paraId="07CBDF31" w14:textId="77777777" w:rsidR="00E3226F" w:rsidRPr="006E5612" w:rsidRDefault="00E3226F" w:rsidP="00CB5559">
            <w:pPr>
              <w:keepNext/>
              <w:spacing w:after="0"/>
              <w:jc w:val="right"/>
            </w:pPr>
            <w:r w:rsidRPr="006E5612">
              <w:t>0%</w:t>
            </w:r>
          </w:p>
        </w:tc>
        <w:tc>
          <w:tcPr>
            <w:tcW w:w="403" w:type="pct"/>
            <w:tcBorders>
              <w:top w:val="nil"/>
              <w:left w:val="nil"/>
              <w:bottom w:val="single" w:sz="4" w:space="0" w:color="auto"/>
              <w:right w:val="nil"/>
            </w:tcBorders>
            <w:shd w:val="clear" w:color="auto" w:fill="auto"/>
            <w:noWrap/>
            <w:vAlign w:val="center"/>
            <w:hideMark/>
          </w:tcPr>
          <w:p w14:paraId="333E1087" w14:textId="77777777" w:rsidR="00E3226F" w:rsidRPr="006E5612" w:rsidRDefault="00E3226F" w:rsidP="00CB5559">
            <w:pPr>
              <w:keepNext/>
              <w:spacing w:after="0"/>
              <w:jc w:val="right"/>
            </w:pPr>
            <w:r w:rsidRPr="006E5612">
              <w:t>3,221</w:t>
            </w:r>
          </w:p>
        </w:tc>
        <w:tc>
          <w:tcPr>
            <w:tcW w:w="719" w:type="pct"/>
            <w:tcBorders>
              <w:top w:val="nil"/>
              <w:left w:val="nil"/>
              <w:bottom w:val="single" w:sz="4" w:space="0" w:color="auto"/>
              <w:right w:val="nil"/>
            </w:tcBorders>
            <w:shd w:val="clear" w:color="auto" w:fill="auto"/>
            <w:noWrap/>
            <w:vAlign w:val="bottom"/>
            <w:hideMark/>
          </w:tcPr>
          <w:p w14:paraId="6F0CC795" w14:textId="77777777" w:rsidR="00E3226F" w:rsidRPr="006E5612" w:rsidRDefault="00E3226F" w:rsidP="00CB5559">
            <w:pPr>
              <w:keepNext/>
              <w:spacing w:after="0"/>
              <w:jc w:val="right"/>
            </w:pPr>
            <w:r w:rsidRPr="006E5612">
              <w:t>0%</w:t>
            </w:r>
          </w:p>
        </w:tc>
        <w:tc>
          <w:tcPr>
            <w:tcW w:w="403" w:type="pct"/>
            <w:tcBorders>
              <w:top w:val="nil"/>
              <w:left w:val="nil"/>
              <w:bottom w:val="single" w:sz="4" w:space="0" w:color="auto"/>
              <w:right w:val="nil"/>
            </w:tcBorders>
            <w:shd w:val="clear" w:color="auto" w:fill="auto"/>
            <w:noWrap/>
            <w:vAlign w:val="center"/>
            <w:hideMark/>
          </w:tcPr>
          <w:p w14:paraId="58519657" w14:textId="77777777" w:rsidR="00E3226F" w:rsidRPr="006E5612" w:rsidRDefault="00E3226F" w:rsidP="00CB5559">
            <w:pPr>
              <w:keepNext/>
              <w:spacing w:after="0"/>
              <w:jc w:val="right"/>
            </w:pPr>
            <w:r w:rsidRPr="006E5612">
              <w:t>2,919</w:t>
            </w:r>
          </w:p>
        </w:tc>
        <w:tc>
          <w:tcPr>
            <w:tcW w:w="724" w:type="pct"/>
            <w:tcBorders>
              <w:top w:val="nil"/>
              <w:left w:val="nil"/>
              <w:bottom w:val="single" w:sz="4" w:space="0" w:color="auto"/>
              <w:right w:val="nil"/>
            </w:tcBorders>
            <w:shd w:val="clear" w:color="auto" w:fill="auto"/>
            <w:noWrap/>
            <w:vAlign w:val="bottom"/>
            <w:hideMark/>
          </w:tcPr>
          <w:p w14:paraId="4D016125" w14:textId="77777777" w:rsidR="00E3226F" w:rsidRPr="006E5612" w:rsidRDefault="00E3226F" w:rsidP="00CB5559">
            <w:pPr>
              <w:keepNext/>
              <w:spacing w:after="0"/>
              <w:jc w:val="right"/>
            </w:pPr>
            <w:r w:rsidRPr="006E5612">
              <w:t>0%</w:t>
            </w:r>
          </w:p>
        </w:tc>
        <w:tc>
          <w:tcPr>
            <w:tcW w:w="490" w:type="pct"/>
            <w:tcBorders>
              <w:top w:val="nil"/>
              <w:left w:val="nil"/>
              <w:bottom w:val="single" w:sz="4" w:space="0" w:color="auto"/>
              <w:right w:val="nil"/>
            </w:tcBorders>
            <w:shd w:val="clear" w:color="auto" w:fill="auto"/>
            <w:noWrap/>
            <w:vAlign w:val="bottom"/>
            <w:hideMark/>
          </w:tcPr>
          <w:p w14:paraId="48F8A49A" w14:textId="77777777" w:rsidR="00E3226F" w:rsidRPr="00E5282C" w:rsidRDefault="00E3226F" w:rsidP="00CB5559">
            <w:pPr>
              <w:keepNext/>
              <w:spacing w:after="0"/>
              <w:jc w:val="right"/>
              <w:rPr>
                <w:sz w:val="20"/>
              </w:rPr>
            </w:pPr>
            <w:r w:rsidRPr="006E5612">
              <w:t>570</w:t>
            </w:r>
          </w:p>
        </w:tc>
        <w:tc>
          <w:tcPr>
            <w:tcW w:w="490" w:type="pct"/>
            <w:tcBorders>
              <w:top w:val="nil"/>
              <w:left w:val="nil"/>
              <w:bottom w:val="single" w:sz="4" w:space="0" w:color="auto"/>
              <w:right w:val="nil"/>
            </w:tcBorders>
            <w:shd w:val="clear" w:color="auto" w:fill="auto"/>
            <w:noWrap/>
            <w:vAlign w:val="bottom"/>
            <w:hideMark/>
          </w:tcPr>
          <w:p w14:paraId="05CF91D3" w14:textId="77777777" w:rsidR="00E3226F" w:rsidRPr="00E5282C" w:rsidRDefault="00E3226F" w:rsidP="00CB5559">
            <w:pPr>
              <w:keepNext/>
              <w:spacing w:after="0"/>
              <w:jc w:val="right"/>
              <w:rPr>
                <w:sz w:val="20"/>
              </w:rPr>
            </w:pPr>
            <w:r w:rsidRPr="006E5612">
              <w:t>660</w:t>
            </w:r>
          </w:p>
        </w:tc>
      </w:tr>
    </w:tbl>
    <w:p w14:paraId="09665D4C" w14:textId="77777777" w:rsidR="00513DED" w:rsidRDefault="00CB5559">
      <w:pPr>
        <w:pStyle w:val="Normal1"/>
        <w:ind w:left="1110" w:hanging="1169"/>
      </w:pPr>
      <w:r>
        <w:rPr>
          <w:noProof/>
          <w:lang w:val="en-NZ" w:eastAsia="en-NZ"/>
        </w:rPr>
        <w:lastRenderedPageBreak/>
        <w:drawing>
          <wp:inline distT="114300" distB="114300" distL="114300" distR="114300" wp14:anchorId="0B65D4B7" wp14:editId="5C9E2D3F">
            <wp:extent cx="5457825" cy="5461000"/>
            <wp:effectExtent l="0" t="0" r="0" b="0"/>
            <wp:docPr id="4"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5457825" cy="5461000"/>
                    </a:xfrm>
                    <a:prstGeom prst="rect">
                      <a:avLst/>
                    </a:prstGeom>
                    <a:ln/>
                  </pic:spPr>
                </pic:pic>
              </a:graphicData>
            </a:graphic>
          </wp:inline>
        </w:drawing>
      </w:r>
    </w:p>
    <w:p w14:paraId="3715D7EB" w14:textId="77777777" w:rsidR="00513DED" w:rsidRDefault="00CB5559">
      <w:pPr>
        <w:pStyle w:val="Normal1"/>
        <w:ind w:left="1110" w:hanging="1169"/>
      </w:pPr>
      <w:r>
        <w:t>Figure 1.</w:t>
      </w:r>
      <w:r>
        <w:tab/>
        <w:t xml:space="preserve">Phase plane (or “Kobe”) plot of the estimated trajectory for jack mackerel under Model 2.2  (steepness = 0.65) compared with 2.0 (pale line,  steepness = 0.8) with reference points set to </w:t>
      </w:r>
      <w:r>
        <w:rPr>
          <w:i/>
        </w:rPr>
        <w:t>F</w:t>
      </w:r>
      <w:r>
        <w:rPr>
          <w:i/>
          <w:vertAlign w:val="subscript"/>
        </w:rPr>
        <w:t>MSY</w:t>
      </w:r>
      <w:r>
        <w:t xml:space="preserve"> and </w:t>
      </w:r>
      <w:r>
        <w:rPr>
          <w:i/>
        </w:rPr>
        <w:t>B</w:t>
      </w:r>
      <w:r>
        <w:rPr>
          <w:i/>
          <w:vertAlign w:val="subscript"/>
        </w:rPr>
        <w:t>MSY</w:t>
      </w:r>
      <w:r>
        <w:t xml:space="preserve"> estimated for the time series 1970-2012.</w:t>
      </w:r>
    </w:p>
    <w:p w14:paraId="5C092BC2" w14:textId="77777777" w:rsidR="00513DED" w:rsidRDefault="00CB5559">
      <w:pPr>
        <w:pStyle w:val="Heading2"/>
        <w:contextualSpacing w:val="0"/>
      </w:pPr>
      <w:r>
        <w:t>6.4.</w:t>
      </w:r>
      <w:r>
        <w:tab/>
        <w:t xml:space="preserve">Review and evaluate the rebuilding plan adopted by the 2nd Commission Meeting </w:t>
      </w:r>
    </w:p>
    <w:p w14:paraId="66E0A610" w14:textId="77777777" w:rsidR="00513DED" w:rsidRDefault="00CB5559">
      <w:pPr>
        <w:pStyle w:val="Normal1"/>
      </w:pPr>
      <w:r>
        <w:t>Under the request by the Commission to review the proposed rebuilding plan, two working documents were presented (SC-02-JM-04, SC-02-JM-09). Both documents describe various methods developed to evaluate the proposed and alternative management plans. The results of these evaluations show a number of performance indicators for the tested management plans. Performance indicators included, among others, annual expected catch levels, variability in catch, rebuilding time to B</w:t>
      </w:r>
      <w:r>
        <w:rPr>
          <w:vertAlign w:val="subscript"/>
        </w:rPr>
        <w:t>MSY</w:t>
      </w:r>
      <w:r>
        <w:t xml:space="preserve"> and risk to not reach B</w:t>
      </w:r>
      <w:r>
        <w:rPr>
          <w:vertAlign w:val="subscript"/>
        </w:rPr>
        <w:t xml:space="preserve">MSY </w:t>
      </w:r>
      <w:r>
        <w:t>in the medium term.</w:t>
      </w:r>
    </w:p>
    <w:p w14:paraId="534FA5ED" w14:textId="77777777" w:rsidR="00513DED" w:rsidRDefault="00CB5559">
      <w:pPr>
        <w:pStyle w:val="Normal1"/>
      </w:pPr>
      <w:r>
        <w:t xml:space="preserve">A subset of alternative harvest control rules (HCRs) with and performance indicators was prepared by the Scientific Committee for consideration by the Commission. Six HCRs were selected and are presented with an overlay of a qualitative colour ramp to visualize differences between plans, given in Table 3.  </w:t>
      </w:r>
    </w:p>
    <w:p w14:paraId="319D6770" w14:textId="77777777" w:rsidR="00513DED" w:rsidRDefault="00CB5559" w:rsidP="00591C89">
      <w:pPr>
        <w:pStyle w:val="Normal1"/>
        <w:keepNext/>
        <w:keepLines/>
        <w:ind w:left="663" w:hanging="778"/>
      </w:pPr>
      <w:r>
        <w:lastRenderedPageBreak/>
        <w:t>Table 3.</w:t>
      </w:r>
      <w:r>
        <w:tab/>
        <w:t>Example set of performance indicators (rows) for alternative harvest control rules (HCRs; columns) based on work presented in SC-02-JM-04 and through interactions with SC participants.</w:t>
      </w:r>
    </w:p>
    <w:p w14:paraId="7E961491" w14:textId="77777777" w:rsidR="00513DED" w:rsidRDefault="00CB5559">
      <w:pPr>
        <w:pStyle w:val="Normal1"/>
      </w:pPr>
      <w:r>
        <w:rPr>
          <w:noProof/>
          <w:lang w:val="en-NZ" w:eastAsia="en-NZ"/>
        </w:rPr>
        <w:drawing>
          <wp:inline distT="114300" distB="114300" distL="114300" distR="114300" wp14:anchorId="3B3AAFA4" wp14:editId="5570F3AE">
            <wp:extent cx="5457825" cy="2832100"/>
            <wp:effectExtent l="0" t="0" r="0" b="0"/>
            <wp:docPr id="5"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5457825" cy="2832100"/>
                    </a:xfrm>
                    <a:prstGeom prst="rect">
                      <a:avLst/>
                    </a:prstGeom>
                    <a:ln/>
                  </pic:spPr>
                </pic:pic>
              </a:graphicData>
            </a:graphic>
          </wp:inline>
        </w:drawing>
      </w:r>
    </w:p>
    <w:p w14:paraId="5E9FF98E" w14:textId="77777777" w:rsidR="00513DED" w:rsidRDefault="00CB5559">
      <w:pPr>
        <w:pStyle w:val="Normal1"/>
      </w:pPr>
      <w:r>
        <w:t>Due to the current low recruitment and abundance, all HCRs result in high probabilities that the stock will remain below the target in the medium term.</w:t>
      </w:r>
    </w:p>
    <w:p w14:paraId="3A35B898" w14:textId="77777777" w:rsidR="00513DED" w:rsidRDefault="00CB5559">
      <w:pPr>
        <w:pStyle w:val="Normal1"/>
      </w:pPr>
      <w:r>
        <w:t>HCR F=0.13 amounts to approximately 650kt with minimal catch variation but greater chance of further declines in SSB. HCR  F=0.2 would provide greater yields (~F</w:t>
      </w:r>
      <w:r>
        <w:rPr>
          <w:vertAlign w:val="subscript"/>
        </w:rPr>
        <w:t>MSY</w:t>
      </w:r>
      <w:r>
        <w:t xml:space="preserve">) but would reduce the chance of rebuilding the stock. </w:t>
      </w:r>
    </w:p>
    <w:p w14:paraId="39F76A4C" w14:textId="77777777" w:rsidR="00513DED" w:rsidRDefault="00CB5559">
      <w:pPr>
        <w:pStyle w:val="Normal1"/>
      </w:pPr>
      <w:r>
        <w:t xml:space="preserve">The “Annex K” HCR from the Jan 2014 Commission report is estimated to provide reasonable recovery times relative to the others but is characterized by high interannual variability and can result in complete fishery closures should a period of low recruitments occur. Catches are expected to stabilize in around 550 kt. </w:t>
      </w:r>
    </w:p>
    <w:p w14:paraId="63B5BF99" w14:textId="77777777" w:rsidR="00513DED" w:rsidRDefault="00CB5559">
      <w:pPr>
        <w:pStyle w:val="Normal1"/>
      </w:pPr>
      <w:r>
        <w:t>A refinement to the Annex K HCR (Adjusted Annex K) includes a rule to stabilize TACs. Under this option, if SSB is greater than 80% of B</w:t>
      </w:r>
      <w:r>
        <w:rPr>
          <w:vertAlign w:val="subscript"/>
        </w:rPr>
        <w:t>MSY</w:t>
      </w:r>
      <w:r>
        <w:t>, TAC is not allowed to vary by more than 15% from year to year. Under this plan, TAC fluctuations are significantly lower and catch stabilizes around 600 kt. This HCR outperforms others in minimizing the chance of SSB declines and recovery time to B</w:t>
      </w:r>
      <w:r>
        <w:rPr>
          <w:vertAlign w:val="subscript"/>
        </w:rPr>
        <w:t>MSY</w:t>
      </w:r>
      <w:r>
        <w:t>.</w:t>
      </w:r>
    </w:p>
    <w:p w14:paraId="4E843031" w14:textId="77777777" w:rsidR="00513DED" w:rsidRDefault="00CB5559">
      <w:pPr>
        <w:pStyle w:val="Normal1"/>
      </w:pPr>
      <w:r>
        <w:t>The sloping HCR simply ramps fishing mortality proportional to SSB when the stock is below B</w:t>
      </w:r>
      <w:r>
        <w:rPr>
          <w:vertAlign w:val="subscript"/>
        </w:rPr>
        <w:t>MSY</w:t>
      </w:r>
      <w:r>
        <w:t xml:space="preserve"> and when above F equals F</w:t>
      </w:r>
      <w:r>
        <w:rPr>
          <w:vertAlign w:val="subscript"/>
        </w:rPr>
        <w:t>MSY</w:t>
      </w:r>
      <w:r>
        <w:t xml:space="preserve">. This HCR results in higher catches compared to the other plans but the trade-off is a long recovery period and higher chance of further declines in SSB. </w:t>
      </w:r>
    </w:p>
    <w:p w14:paraId="403998F3" w14:textId="77777777" w:rsidR="00513DED" w:rsidRDefault="00CB5559">
      <w:pPr>
        <w:pStyle w:val="Normal1"/>
      </w:pPr>
      <w:r>
        <w:t>The current guidance and advice to the commission is clear in the short term and advice presently provides estimates on the probability of achieving target spawning biomass levels.</w:t>
      </w:r>
    </w:p>
    <w:p w14:paraId="7CAD7140" w14:textId="77777777" w:rsidR="00513DED" w:rsidRDefault="00CB5559">
      <w:pPr>
        <w:pStyle w:val="Normal1"/>
      </w:pPr>
      <w:r>
        <w:t>Recognizing that SPRFMO will likely revisit the data and assessment of jack mackerel on a regular basis, the urgency to select a specific HCR can proceed at a deliberate pace. The SC requests that the Commission provide guidance on the types of performance indicators they would like to have in order to evaluate policies relative to their objectives.</w:t>
      </w:r>
    </w:p>
    <w:p w14:paraId="24DE8F53" w14:textId="77777777" w:rsidR="00513DED" w:rsidRDefault="00CB5559">
      <w:pPr>
        <w:pStyle w:val="Heading2"/>
        <w:contextualSpacing w:val="0"/>
      </w:pPr>
      <w:r>
        <w:t>6.5.</w:t>
      </w:r>
      <w:r>
        <w:tab/>
        <w:t xml:space="preserve">Future jack mackerel research program and identification of short term research and assessment requirements </w:t>
      </w:r>
    </w:p>
    <w:p w14:paraId="092D2C5C" w14:textId="77777777" w:rsidR="00513DED" w:rsidRDefault="00CB5559">
      <w:pPr>
        <w:pStyle w:val="Normal1"/>
      </w:pPr>
      <w:r>
        <w:rPr>
          <w:b/>
        </w:rPr>
        <w:t xml:space="preserve">Data workshop. </w:t>
      </w:r>
      <w:r>
        <w:t xml:space="preserve">The SC discussed convening a workshop on the data that comprise the inputs to the current assessments. Presently there are a number of questions about the sources and extensiveness of different data components, and this information is needed in order to apply </w:t>
      </w:r>
      <w:r>
        <w:lastRenderedPageBreak/>
        <w:t>appropriate weights to the model components. Guidelines are needed to provide more efficient and consistent approaches to bringing new data to the assessment process and in submitting to the Secretariat.</w:t>
      </w:r>
    </w:p>
    <w:p w14:paraId="250B8AA8" w14:textId="77777777" w:rsidR="00513DED" w:rsidRDefault="00CB5559">
      <w:pPr>
        <w:pStyle w:val="Normal1"/>
      </w:pPr>
      <w:r>
        <w:t>Also, future plans to make a spatially disaggregated model would benefit from a clearer understanding of the data.</w:t>
      </w:r>
      <w:r>
        <w:tab/>
      </w:r>
    </w:p>
    <w:p w14:paraId="46D32294" w14:textId="77777777" w:rsidR="00513DED" w:rsidRDefault="00CB5559">
      <w:pPr>
        <w:pStyle w:val="Normal1"/>
      </w:pPr>
      <w:r>
        <w:rPr>
          <w:b/>
        </w:rPr>
        <w:t xml:space="preserve">Opportunistic fisheries data collection. </w:t>
      </w:r>
      <w:r>
        <w:t>The SC was requested to establish a Task Group on the Standardization of Acoustic Data with the following objectives:</w:t>
      </w:r>
    </w:p>
    <w:p w14:paraId="2CE24F8C" w14:textId="77777777" w:rsidR="00513DED" w:rsidRDefault="00CB5559">
      <w:pPr>
        <w:pStyle w:val="Normal1"/>
        <w:numPr>
          <w:ilvl w:val="0"/>
          <w:numId w:val="3"/>
        </w:numPr>
        <w:spacing w:after="0"/>
        <w:ind w:hanging="359"/>
        <w:contextualSpacing/>
        <w:jc w:val="both"/>
      </w:pPr>
      <w:r>
        <w:t>Establish common protocols (settings of the instruments and calibration procedures; definition of indicators; etc.)</w:t>
      </w:r>
    </w:p>
    <w:p w14:paraId="01128827" w14:textId="77777777" w:rsidR="00513DED" w:rsidRDefault="00CB5559">
      <w:pPr>
        <w:pStyle w:val="Normal1"/>
        <w:numPr>
          <w:ilvl w:val="0"/>
          <w:numId w:val="3"/>
        </w:numPr>
        <w:spacing w:after="0"/>
        <w:ind w:hanging="359"/>
        <w:contextualSpacing/>
        <w:jc w:val="both"/>
      </w:pPr>
      <w:r>
        <w:t>Harmonize analytical approaches for the description of population dynamics (e.g. international workshops) and the provision of ecological and fishing information to SPRFMO</w:t>
      </w:r>
    </w:p>
    <w:p w14:paraId="3EFDEEEC" w14:textId="77777777" w:rsidR="00513DED" w:rsidRDefault="00CB5559">
      <w:pPr>
        <w:pStyle w:val="Normal1"/>
        <w:numPr>
          <w:ilvl w:val="0"/>
          <w:numId w:val="3"/>
        </w:numPr>
        <w:spacing w:after="200"/>
        <w:ind w:hanging="359"/>
        <w:contextualSpacing/>
        <w:jc w:val="both"/>
      </w:pPr>
      <w:r>
        <w:t>Develop a “methodological package” to allow potential users to process their own data under an agreed international format.</w:t>
      </w:r>
    </w:p>
    <w:p w14:paraId="2EC3BAC3" w14:textId="77777777" w:rsidR="00513DED" w:rsidRDefault="00CB5559">
      <w:pPr>
        <w:pStyle w:val="Normal1"/>
        <w:spacing w:after="200"/>
        <w:jc w:val="both"/>
      </w:pPr>
      <w:r>
        <w:t>The Task Group was proposed for three years under the chairmanship of François Gerlotto (IREA). Participation would be open to all interested Members, CNCPs and Observers. Specialists in acoustics would also be encouraged to join.</w:t>
      </w:r>
    </w:p>
    <w:p w14:paraId="25E0A6C7" w14:textId="77777777" w:rsidR="00513DED" w:rsidRDefault="00CB5559">
      <w:pPr>
        <w:pStyle w:val="Normal1"/>
        <w:spacing w:after="200"/>
        <w:jc w:val="both"/>
      </w:pPr>
      <w:r>
        <w:t>The working program of the Task Group would follow the recommendations of the workshop on “Fishing vessels as scientific platforms”. The Task Group would set up an annual workshop and work intersessionally through remote communication means. For the first year, it was recommended that the Task Group work on the development of a protocol for vessel calibration. The Task Group should report to the SPRFMO Scientific Committee and work in collaboration with the ICES WGFAST and the International Advisory Committee of IREA to avoid any duplication and to ensure the scientific quality of its works.</w:t>
      </w:r>
    </w:p>
    <w:p w14:paraId="366AF543" w14:textId="77777777" w:rsidR="00513DED" w:rsidRDefault="00CB5559">
      <w:pPr>
        <w:pStyle w:val="Normal1"/>
      </w:pPr>
      <w:r>
        <w:t>The activities of the Task Group would be supported by IREA (through its regular work) and by already committed contributions from fishing companies. Other sources of funding would be explored. Travel expenses would be covered by participants.</w:t>
      </w:r>
    </w:p>
    <w:p w14:paraId="404FE46E" w14:textId="77777777" w:rsidR="00513DED" w:rsidRDefault="00CB5559">
      <w:pPr>
        <w:pStyle w:val="Heading1"/>
      </w:pPr>
      <w:bookmarkStart w:id="3" w:name="h.f9f0fzhmn2jj" w:colFirst="0" w:colLast="0"/>
      <w:bookmarkEnd w:id="3"/>
      <w:r>
        <w:t>7.</w:t>
      </w:r>
      <w:r>
        <w:tab/>
        <w:t>Deepwater Working Group</w:t>
      </w:r>
    </w:p>
    <w:p w14:paraId="53FB28AD" w14:textId="77777777" w:rsidR="00513DED" w:rsidRDefault="00CB5559">
      <w:pPr>
        <w:pStyle w:val="Heading2"/>
        <w:contextualSpacing w:val="0"/>
      </w:pPr>
      <w:bookmarkStart w:id="4" w:name="h.mh3akmopvxvi" w:colFirst="0" w:colLast="0"/>
      <w:bookmarkEnd w:id="4"/>
      <w:r>
        <w:t>7.1.</w:t>
      </w:r>
      <w:r>
        <w:tab/>
        <w:t xml:space="preserve">Inter-Sessional assessments of deepwater species </w:t>
      </w:r>
    </w:p>
    <w:p w14:paraId="65545115" w14:textId="77777777" w:rsidR="00513DED" w:rsidRDefault="00CB5559">
      <w:pPr>
        <w:pStyle w:val="Normal1"/>
      </w:pPr>
      <w:r>
        <w:t>These papers were dealt with under item 7.3.</w:t>
      </w:r>
    </w:p>
    <w:p w14:paraId="6EB78378" w14:textId="77777777" w:rsidR="00513DED" w:rsidRDefault="00CB5559">
      <w:pPr>
        <w:pStyle w:val="Heading2"/>
        <w:contextualSpacing w:val="0"/>
      </w:pPr>
      <w:bookmarkStart w:id="5" w:name="h.7d04xs48s5zm" w:colFirst="0" w:colLast="0"/>
      <w:bookmarkEnd w:id="5"/>
      <w:r>
        <w:t>7.2.</w:t>
      </w:r>
      <w:r>
        <w:tab/>
        <w:t>Applications to fish outside the footprint or above reference period catch levels</w:t>
      </w:r>
    </w:p>
    <w:p w14:paraId="113B8191" w14:textId="77777777" w:rsidR="00513DED" w:rsidRDefault="00CB5559">
      <w:pPr>
        <w:pStyle w:val="Normal1"/>
      </w:pPr>
      <w:r>
        <w:t>There were no new applications to fish outside the footprint or above reference period catch levels.</w:t>
      </w:r>
    </w:p>
    <w:p w14:paraId="32E64B9A" w14:textId="77777777" w:rsidR="00513DED" w:rsidRDefault="00CB5559">
      <w:pPr>
        <w:pStyle w:val="Heading2"/>
        <w:contextualSpacing w:val="0"/>
      </w:pPr>
      <w:bookmarkStart w:id="6" w:name="h.u1gl1s29zi9f" w:colFirst="0" w:colLast="0"/>
      <w:bookmarkEnd w:id="6"/>
      <w:r>
        <w:t>7.3.</w:t>
      </w:r>
      <w:r>
        <w:tab/>
        <w:t>Planning SC activities to inform the review of CMM 2.03 (bottom fishing)</w:t>
      </w:r>
    </w:p>
    <w:p w14:paraId="47EF2810" w14:textId="77777777" w:rsidR="00513DED" w:rsidRDefault="00CB5559">
      <w:pPr>
        <w:pStyle w:val="Normal1"/>
        <w:spacing w:after="200"/>
      </w:pPr>
      <w:r>
        <w:rPr>
          <w:b/>
        </w:rPr>
        <w:t>Paper SC-02-DW-01</w:t>
      </w:r>
      <w:r>
        <w:t xml:space="preserve"> from New Zealand reviewed previous work on VME thresholds to ensure that current data support the continued use of these thresholds. The methodology previously agreed by the Science Working Group was used to test if 1) VME thresholds were appropriate, and 2) if the biodiversity component was appropriate. The principle findings of the paper were that threshold levels and the biodiversity aspect (i.e. the presence of three VME species in one tow as an indicator of VMEs) are appropriate. The move-on rule is infrequently triggered and at the right magnitude using the current move-on rules. New Zealand may use the outputs of this paper to review potential modifications to the move-on rule.</w:t>
      </w:r>
    </w:p>
    <w:p w14:paraId="3CE0D4D7" w14:textId="77777777" w:rsidR="00513DED" w:rsidRDefault="00CB5559">
      <w:pPr>
        <w:pStyle w:val="Normal1"/>
        <w:spacing w:after="200"/>
      </w:pPr>
      <w:r>
        <w:rPr>
          <w:b/>
        </w:rPr>
        <w:t>Paper SC-02-DW-02</w:t>
      </w:r>
      <w:r>
        <w:t xml:space="preserve"> from New Zealand explored requirements for the development of a new CMM for bottom fishing and how the science programme could progress this work. The current </w:t>
      </w:r>
      <w:r>
        <w:lastRenderedPageBreak/>
        <w:t>footprint is based on the period 2002–2006 but fishing in the area started in the 1980s and the extent of fishing effort has been much greater than described by the 2002-2006 footprint. New Zealand indicated that the time period was selected in relation to work done on jack mackerel and that it would be appropriate to revisit this with respect to the orange roughy fishery. It was indicated that work on this has already commenced. At SC-01, the SC advised that the environmental impact of the fishery should consider the whole historical footprint. The question of which areas to open and close to fishing would be best re-examined when considering the spatial management approach and the trade-off between environmental protection of VMEs and access by fisheries.</w:t>
      </w:r>
    </w:p>
    <w:p w14:paraId="18520C95" w14:textId="77777777" w:rsidR="00513DED" w:rsidRDefault="00CB5559">
      <w:pPr>
        <w:pStyle w:val="Normal1"/>
        <w:spacing w:after="200"/>
      </w:pPr>
      <w:r>
        <w:t>Australia thanked New Zealand for the paper and indicated that Australia will look forward to supporting New Zealand in any future work on this issue.</w:t>
      </w:r>
    </w:p>
    <w:p w14:paraId="1EB966C1" w14:textId="77777777" w:rsidR="00513DED" w:rsidRDefault="00CB5559">
      <w:pPr>
        <w:pStyle w:val="Normal1"/>
        <w:spacing w:after="200"/>
      </w:pPr>
      <w:r>
        <w:rPr>
          <w:b/>
        </w:rPr>
        <w:t>Paper SC-02-DW-03</w:t>
      </w:r>
      <w:r>
        <w:t xml:space="preserve"> by New Zealand presented current methodologies used around the world to assess data poor fisheries. New Zealand plan to apply a range of these methods to assess orange roughy stocks in the SPRFMO Convention Area. The proposed work will examine stock management boundaries and initial stock size (</w:t>
      </w:r>
      <w:r>
        <w:rPr>
          <w:i/>
        </w:rPr>
        <w:t>B</w:t>
      </w:r>
      <w:r>
        <w:rPr>
          <w:i/>
          <w:sz w:val="34"/>
          <w:vertAlign w:val="subscript"/>
        </w:rPr>
        <w:t>0</w:t>
      </w:r>
      <w:r>
        <w:t>) estimates. The Deepwater WG requested that at the next WG meeting Australia consider providing information on the work CSIRO has done on data poor fisheries, to inform the WG of any techniques that may be of use in looking at target and bycatch species.</w:t>
      </w:r>
    </w:p>
    <w:p w14:paraId="49A7BD8C" w14:textId="77777777" w:rsidR="00513DED" w:rsidRDefault="00CB5559">
      <w:pPr>
        <w:pStyle w:val="Normal1"/>
        <w:spacing w:after="200"/>
      </w:pPr>
      <w:r>
        <w:t xml:space="preserve">The issue of undertaking assessments of bycatch and non-target species was also briefly discussed by the WG. The WG noted that, with limited resources, it will be important to begin by concentrating on target species, and address the bycatch species at a later date.  </w:t>
      </w:r>
    </w:p>
    <w:p w14:paraId="431F8FFB" w14:textId="77777777" w:rsidR="00513DED" w:rsidRDefault="00CB5559">
      <w:pPr>
        <w:pStyle w:val="Normal1"/>
        <w:spacing w:after="200"/>
      </w:pPr>
      <w:r>
        <w:rPr>
          <w:b/>
        </w:rPr>
        <w:t>Paper SC-02-10</w:t>
      </w:r>
      <w:r>
        <w:t xml:space="preserve"> by New Zealand considered the probability of bottom contact by midwater trawling for bentho-pelagic species. The paper showed that a minimum of 10 per cent of tows  contacted the seabed, and if less certain indicators were considered this rose to 16 percent of tows. The data were also considered spatially, segregated by: open, closed (to bottom trawl) and move-on-rule areas. In general, the percentage of incidences of bottom contact in open areas was higher than in closed areas. Industry stated that they are less likely to hit the bottom in closed areas as they actively avoid bottom contact in the closed areas.</w:t>
      </w:r>
    </w:p>
    <w:p w14:paraId="2CE36E25" w14:textId="77777777" w:rsidR="00513DED" w:rsidRDefault="00CB5559">
      <w:pPr>
        <w:pStyle w:val="Normal1"/>
        <w:spacing w:after="200"/>
      </w:pPr>
      <w:r>
        <w:t>The paper was not about defining bottom trawling/midwater trawling, but rather about addressing the issue of protecting VMEs.</w:t>
      </w:r>
    </w:p>
    <w:p w14:paraId="2C0552BD" w14:textId="77777777" w:rsidR="00513DED" w:rsidRDefault="00CB5559">
      <w:pPr>
        <w:pStyle w:val="Normal1"/>
        <w:spacing w:after="0" w:line="276" w:lineRule="auto"/>
        <w:jc w:val="both"/>
      </w:pPr>
      <w:r>
        <w:rPr>
          <w:b/>
        </w:rPr>
        <w:t>Information papers SC-02-INF-04 and SC-02-INF-05.</w:t>
      </w:r>
      <w:r>
        <w:t xml:space="preserve"> The High Seas Fisheries Group (HSFG) proposed that spatial management of deepwater fisheries should consist exclusively of open and closed areas, arguing that this would provide more effective protection of fragile benthos than the present open, closed and ‘move-on’ approach. Given that trawl fishing occurs exclusively in relation to seafloor features, the HSFG proposed that management should be based on individual seafloor features, with open and closed areas defined in terms of seafloor features where fishing was allowed/not allowed. Areas could be defined to ensure that a sufficient fraction of each seafloor feature was closed to ensure the adequate protection of VMEs.</w:t>
      </w:r>
    </w:p>
    <w:p w14:paraId="6343F992" w14:textId="77777777" w:rsidR="00513DED" w:rsidRDefault="00CB5559">
      <w:pPr>
        <w:pStyle w:val="Normal1"/>
        <w:spacing w:after="0" w:line="276" w:lineRule="auto"/>
        <w:jc w:val="both"/>
      </w:pPr>
      <w:r>
        <w:t xml:space="preserve"> </w:t>
      </w:r>
    </w:p>
    <w:p w14:paraId="41CA38DF" w14:textId="77777777" w:rsidR="00513DED" w:rsidRDefault="00CB5559">
      <w:pPr>
        <w:pStyle w:val="Normal1"/>
        <w:spacing w:after="200"/>
        <w:jc w:val="both"/>
      </w:pPr>
      <w:r>
        <w:t>HSFG noted that a closed/open approach of management would be simple, hence enhancing both compliance and enforcement. Entire seafloor features of no interest for fishing could be closed; including a large proportion of seafloor features where bottom fishing is not possible or where known areas of VMEs occur (experience suggests low abundance of VME indicator taxa in areas of interest to fishers).</w:t>
      </w:r>
    </w:p>
    <w:p w14:paraId="05F48CE5" w14:textId="77777777" w:rsidR="00513DED" w:rsidRDefault="00CB5559">
      <w:pPr>
        <w:pStyle w:val="Normal1"/>
        <w:spacing w:after="200"/>
        <w:jc w:val="both"/>
      </w:pPr>
      <w:r>
        <w:lastRenderedPageBreak/>
        <w:t>The HSFG also reported recent progress in acoustic surveys for deepwater species on the high seas using commercial vessels.  The FAO had convened a workshop of experts to advise on ways forward (FAO Fish. Aquat. Circ. No 1059, 2012). An update was provided on the multi-frequency Acoustic Optical System (AOS) that can be deployed on commercial vessel trawl nets, and preliminary results were presented from the first survey undertaken in SPRFMO using this technology in July 2014 on the Challenger Plateau orange roughy straddling stock. The Secretariat was informed in advance that this survey would be conducted in 2014.</w:t>
      </w:r>
    </w:p>
    <w:p w14:paraId="11CDE46B" w14:textId="77777777" w:rsidR="00513DED" w:rsidRDefault="00CB5559">
      <w:pPr>
        <w:pStyle w:val="Normal1"/>
        <w:spacing w:after="200"/>
        <w:jc w:val="both"/>
      </w:pPr>
      <w:r>
        <w:t xml:space="preserve">Multi-frequency acoustic systems are now viewed as the standard in New Zealand and Australia to provide robust biomass estimates from surveys where multiple species may occur and/or on steep slopes.  The AOS, developed by CSIRO in Australia, has also provided more reliable estimates of acoustic target strength (TS) for the acoustic estimation of the biomass of deepwater species. Data on the TS for alfonsino were collected in 2014. </w:t>
      </w:r>
    </w:p>
    <w:p w14:paraId="22C08B54" w14:textId="77777777" w:rsidR="00513DED" w:rsidRDefault="00CB5559">
      <w:pPr>
        <w:pStyle w:val="Normal1"/>
        <w:spacing w:after="200"/>
        <w:jc w:val="both"/>
      </w:pPr>
      <w:r>
        <w:t xml:space="preserve">The AOS has been combined with mesopelagic sampling nets on the high seas for the Australian Integrated Marine Observing System (IMOS) programme on the Indian Ocean. Preliminary results indicated that a wide range of organisms contributed to the backscatter in pelagic acoustic surveys, with potential implications for SPRFMO surveys. </w:t>
      </w:r>
    </w:p>
    <w:p w14:paraId="4FADE0AB" w14:textId="77777777" w:rsidR="00513DED" w:rsidRDefault="00CB5559">
      <w:pPr>
        <w:pStyle w:val="Normal1"/>
        <w:spacing w:after="200"/>
      </w:pPr>
      <w:r>
        <w:rPr>
          <w:b/>
        </w:rPr>
        <w:t xml:space="preserve">Work requested under paragraph 5 of CMM 2.03 </w:t>
      </w:r>
    </w:p>
    <w:p w14:paraId="5C90E114" w14:textId="77777777" w:rsidR="00513DED" w:rsidRDefault="00CB5559">
      <w:pPr>
        <w:pStyle w:val="Normal1"/>
      </w:pPr>
      <w:r>
        <w:rPr>
          <w:i/>
        </w:rPr>
        <w:t>(a) undertake an assessment of the likely impact of specific gear types, particularly trawl, on VMEs, to further inform the definition of bottom fishing</w:t>
      </w:r>
    </w:p>
    <w:p w14:paraId="3D1797C1" w14:textId="77777777" w:rsidR="00513DED" w:rsidRDefault="00CB5559">
      <w:pPr>
        <w:pStyle w:val="Normal1"/>
      </w:pPr>
      <w:r>
        <w:t xml:space="preserve">New Zealand undertook an evaluation of the potential impact on VMEs of using midwater trawl gear to target bentho-pelagic species close to the seabed (SC-02-10 “An assessment of the potential for near-seabed midwater trawling to contact the seabed and to impact benthic habitat and vulnerable marine ecosystems (VMEs)”). This evaluation concluded that, while there is evidence that this method of fishing leads to the midwater trawl gear touching the seabed during the normal course of operations for a minority of tows, any impact would be low due to the nature of the contact (point contact only). </w:t>
      </w:r>
    </w:p>
    <w:p w14:paraId="4D2598A3" w14:textId="77777777" w:rsidR="00513DED" w:rsidRDefault="00CB5559">
      <w:pPr>
        <w:pStyle w:val="Normal1"/>
      </w:pPr>
      <w:r>
        <w:t>Based on the presentation and discussion of paper SC-02-10, the SC agreed that:</w:t>
      </w:r>
    </w:p>
    <w:p w14:paraId="365D70AB" w14:textId="77777777" w:rsidR="00513DED" w:rsidRDefault="00CB5559">
      <w:pPr>
        <w:pStyle w:val="Normal1"/>
        <w:numPr>
          <w:ilvl w:val="0"/>
          <w:numId w:val="12"/>
        </w:numPr>
        <w:ind w:hanging="359"/>
        <w:contextualSpacing/>
      </w:pPr>
      <w:r>
        <w:t>midwater trawling for bentho-pelagic species (e.g. alfonsino) falls under the description of “bottom fishing” as defined in paragraph 4 of CMM 2.03;</w:t>
      </w:r>
    </w:p>
    <w:p w14:paraId="39B82697" w14:textId="77777777" w:rsidR="00513DED" w:rsidRDefault="00CB5559">
      <w:pPr>
        <w:pStyle w:val="Normal1"/>
        <w:numPr>
          <w:ilvl w:val="0"/>
          <w:numId w:val="12"/>
        </w:numPr>
        <w:ind w:hanging="359"/>
        <w:contextualSpacing/>
      </w:pPr>
      <w:r>
        <w:t>midwater trawling for bentho-pelagic species has a low impact on the physical and biological habitat: a value of “2” on the five-point scale developed by Chuenpagdee et al., 2003 (noting that demersal trawling is rated as a “5” on this scale);</w:t>
      </w:r>
    </w:p>
    <w:p w14:paraId="68AD39DB" w14:textId="77777777" w:rsidR="00513DED" w:rsidRDefault="00CB5559">
      <w:pPr>
        <w:pStyle w:val="Normal1"/>
        <w:numPr>
          <w:ilvl w:val="0"/>
          <w:numId w:val="12"/>
        </w:numPr>
        <w:ind w:hanging="359"/>
        <w:contextualSpacing/>
      </w:pPr>
      <w:r>
        <w:t>midwater trawling for bentho-pelagic species is unlikely to cause significant adverse effects on VMEs.</w:t>
      </w:r>
    </w:p>
    <w:p w14:paraId="58917FF1" w14:textId="77777777" w:rsidR="00513DED" w:rsidRDefault="00CB5559">
      <w:pPr>
        <w:pStyle w:val="Normal1"/>
        <w:numPr>
          <w:ilvl w:val="0"/>
          <w:numId w:val="12"/>
        </w:numPr>
        <w:ind w:hanging="359"/>
        <w:contextualSpacing/>
      </w:pPr>
      <w:r>
        <w:t>The SC recommends that the Commission should modify CMM 2.03 to take into account the relative impact on VMEs of different fishing methods and practices, and to specifically address midwater trawling for bentho-pelagic species.</w:t>
      </w:r>
    </w:p>
    <w:p w14:paraId="60E62447" w14:textId="77777777" w:rsidR="00513DED" w:rsidRDefault="00CB5559">
      <w:pPr>
        <w:pStyle w:val="Normal1"/>
      </w:pPr>
      <w:r>
        <w:rPr>
          <w:i/>
        </w:rPr>
        <w:t>(b) undertake stock assessments of principal deep-sea fishery resources targeted, and, to the extent possible, taken as bycatch and caught incidentally in these fisheries, including straddling resources</w:t>
      </w:r>
    </w:p>
    <w:p w14:paraId="780AAEED" w14:textId="77777777" w:rsidR="00513DED" w:rsidRDefault="00CB5559">
      <w:pPr>
        <w:pStyle w:val="Normal1"/>
        <w:numPr>
          <w:ilvl w:val="0"/>
          <w:numId w:val="8"/>
        </w:numPr>
        <w:ind w:hanging="359"/>
        <w:contextualSpacing/>
      </w:pPr>
      <w:r>
        <w:t>New Zealand has recently completed a stock assessment of the stock of orange roughy on the Challenger Plateau that straddles between the high seas on the New Zealand EEZ. This assessment is based on a long time series of combined trawl and acoustic surveys and a newly developed assessment model. This assessment was peer reviewed by a group including Australian and Canadian stock assessment scientists.</w:t>
      </w:r>
    </w:p>
    <w:p w14:paraId="4CE5B2F5" w14:textId="77777777" w:rsidR="00513DED" w:rsidRDefault="00CB5559">
      <w:pPr>
        <w:pStyle w:val="Normal1"/>
        <w:numPr>
          <w:ilvl w:val="0"/>
          <w:numId w:val="8"/>
        </w:numPr>
        <w:ind w:hanging="359"/>
        <w:contextualSpacing/>
      </w:pPr>
      <w:r>
        <w:t xml:space="preserve">New Zealand is currently progressing the definition of stock management areas and the assessment of stock status for a number of orange roughy stocks in the SPRFMO </w:t>
      </w:r>
      <w:r>
        <w:lastRenderedPageBreak/>
        <w:t>Convention Area, and expects to report results at the next meeting of the SC in 2015.</w:t>
      </w:r>
    </w:p>
    <w:p w14:paraId="230F3A65" w14:textId="77777777" w:rsidR="00513DED" w:rsidRDefault="00CB5559">
      <w:pPr>
        <w:pStyle w:val="Normal1"/>
        <w:numPr>
          <w:ilvl w:val="0"/>
          <w:numId w:val="8"/>
        </w:numPr>
        <w:ind w:hanging="359"/>
        <w:contextualSpacing/>
      </w:pPr>
      <w:r>
        <w:t>Recent small-scale acoustic surveys of some orange roughy stocks in the SPRFMO Convention Area, as notified to the Secretariat, have been completed. Further planning for such surveys is on-going and the results of these surveys will be used to support stock assessment efforts, all of which will be reported to the SC.</w:t>
      </w:r>
    </w:p>
    <w:p w14:paraId="1A4002EB" w14:textId="77777777" w:rsidR="00513DED" w:rsidRDefault="00CB5559">
      <w:pPr>
        <w:pStyle w:val="Normal1"/>
      </w:pPr>
      <w:r>
        <w:rPr>
          <w:i/>
        </w:rPr>
        <w:t>(c) develop and provide advice and recommendations to the Commission on criteria for what constitutes evidence of an encounter with a VME, in particular threshold levels and indicator species</w:t>
      </w:r>
    </w:p>
    <w:p w14:paraId="24BCBD20" w14:textId="77777777" w:rsidR="00513DED" w:rsidRDefault="00CB5559">
      <w:pPr>
        <w:pStyle w:val="Normal1"/>
        <w:spacing w:after="60" w:line="276" w:lineRule="auto"/>
      </w:pPr>
      <w:r>
        <w:t>At SC 01 in 2013, the SC endorsed the following characteristics of effective move-on rules:</w:t>
      </w:r>
    </w:p>
    <w:p w14:paraId="77B04099" w14:textId="77777777" w:rsidR="00513DED" w:rsidRDefault="00CB5559">
      <w:pPr>
        <w:pStyle w:val="Normal1"/>
        <w:numPr>
          <w:ilvl w:val="0"/>
          <w:numId w:val="13"/>
        </w:numPr>
        <w:ind w:hanging="359"/>
        <w:contextualSpacing/>
      </w:pPr>
      <w:r>
        <w:t>Lists of regionally specific VME indicator taxa should be identified for each fishery, using all available information on species occurrence and retention by fishing gears.</w:t>
      </w:r>
    </w:p>
    <w:p w14:paraId="3FAB34D4" w14:textId="77777777" w:rsidR="00513DED" w:rsidRDefault="00CB5559">
      <w:pPr>
        <w:pStyle w:val="Normal1"/>
        <w:numPr>
          <w:ilvl w:val="0"/>
          <w:numId w:val="13"/>
        </w:numPr>
        <w:ind w:hanging="359"/>
        <w:contextualSpacing/>
      </w:pPr>
      <w:r>
        <w:t>VME taxa should be specified at a level that facilitates rapid and accurate onboard visual identification by trained observers.</w:t>
      </w:r>
    </w:p>
    <w:p w14:paraId="26167D9D" w14:textId="77777777" w:rsidR="00513DED" w:rsidRDefault="00CB5559">
      <w:pPr>
        <w:pStyle w:val="Normal1"/>
        <w:numPr>
          <w:ilvl w:val="0"/>
          <w:numId w:val="13"/>
        </w:numPr>
        <w:ind w:hanging="359"/>
        <w:contextualSpacing/>
      </w:pPr>
      <w:r>
        <w:t>Encounter thresholds indicating evidence of a VME should be based on analyses of historical bycatch data, taking account of the different retention rates of species by each gear type. Multiple species can be used to indicate higher biodiversity.</w:t>
      </w:r>
    </w:p>
    <w:p w14:paraId="47DDA648" w14:textId="77777777" w:rsidR="00513DED" w:rsidRDefault="00CB5559">
      <w:pPr>
        <w:pStyle w:val="Normal1"/>
        <w:numPr>
          <w:ilvl w:val="0"/>
          <w:numId w:val="13"/>
        </w:numPr>
        <w:ind w:hanging="359"/>
        <w:contextualSpacing/>
      </w:pPr>
      <w:r>
        <w:t>Once evidence of a VME is encountered using an agreed protocol, move-on areas should be closed to fishing by all demersal fishing vessels until further analysis or evidence indicates that area does not contain VMEs.</w:t>
      </w:r>
    </w:p>
    <w:p w14:paraId="1D41057B" w14:textId="77777777" w:rsidR="00513DED" w:rsidRDefault="00CB5559">
      <w:pPr>
        <w:pStyle w:val="Normal1"/>
        <w:numPr>
          <w:ilvl w:val="0"/>
          <w:numId w:val="13"/>
        </w:numPr>
        <w:ind w:hanging="359"/>
        <w:contextualSpacing/>
      </w:pPr>
      <w:r>
        <w:t>Move-on distances and area closures should encompass the area covered by typical fishing operations using that gear type.</w:t>
      </w:r>
    </w:p>
    <w:p w14:paraId="627BF3AF" w14:textId="77777777" w:rsidR="00513DED" w:rsidRDefault="00CB5559">
      <w:pPr>
        <w:pStyle w:val="Normal1"/>
      </w:pPr>
      <w:r>
        <w:t>In 2013, the SC emphasised that move-on rules should be considered to be temporary measures, providing precautionary protection for areas showing evidence of VMEs until objectively planned spatial closures can be implemented to protect known and highly bio-diverse VME areas. The SC therefore recommends that the Commission implements a spatial management approach for these fisheries in order to appropriately protect VMEs while enabling viable fisheries to operate. The spatial management approach should use open and closed areas defined by the best available evidence, including evidence of where VMEs occur or are likely to occur. Such spatial management will render unnecessary the need for a move-on rule.</w:t>
      </w:r>
    </w:p>
    <w:p w14:paraId="48405CA9" w14:textId="77777777" w:rsidR="00513DED" w:rsidRDefault="00CB5559">
      <w:pPr>
        <w:pStyle w:val="Normal1"/>
      </w:pPr>
      <w:r>
        <w:rPr>
          <w:i/>
        </w:rPr>
        <w:t>(d) develop and provide advice and recommendations to the Commission on the most appropriate response to a VME encounter, including inter alia closing particular areas to a particular gear type or types</w:t>
      </w:r>
    </w:p>
    <w:p w14:paraId="682FA24C" w14:textId="77777777" w:rsidR="00513DED" w:rsidRDefault="00CB5559">
      <w:pPr>
        <w:pStyle w:val="Normal1"/>
      </w:pPr>
      <w:r>
        <w:t>At present, responses to a VME encounter are described by the two current defined move-on  rules. Further work on developing a single type of response is required. However, if full spatial management is implemented, as recommended at (c) above, encounters with VMEs will be minimised, VMEs will be appropriately protected, and no additional response should be necessary.</w:t>
      </w:r>
    </w:p>
    <w:p w14:paraId="067234D3" w14:textId="77777777" w:rsidR="00513DED" w:rsidRDefault="00CB5559">
      <w:pPr>
        <w:pStyle w:val="Normal1"/>
      </w:pPr>
      <w:r>
        <w:rPr>
          <w:i/>
        </w:rPr>
        <w:t>(e) review and streamline the SPRFMO Bottom Fishery Impact Assessment Standard (SPRFMO BFIAS) agreed by the Scientific Working Group in 2011 to take account of the latest scientific information available</w:t>
      </w:r>
    </w:p>
    <w:p w14:paraId="666135C0" w14:textId="77777777" w:rsidR="00513DED" w:rsidRDefault="00CB5559">
      <w:pPr>
        <w:pStyle w:val="Normal1"/>
      </w:pPr>
      <w:r>
        <w:t>Given other priorities in SPRFMO research, there were no resources to address this issue during the last year. This area of work will be progressed intersessionally by a sub-group that has been established by the SC.</w:t>
      </w:r>
    </w:p>
    <w:p w14:paraId="3A58024F" w14:textId="77777777" w:rsidR="00513DED" w:rsidRDefault="00CB5559">
      <w:pPr>
        <w:pStyle w:val="Normal1"/>
      </w:pPr>
      <w:r>
        <w:rPr>
          <w:i/>
        </w:rPr>
        <w:t>(f) provide advice on the appropriate spatial resolution and time period for footprint mapping</w:t>
      </w:r>
    </w:p>
    <w:p w14:paraId="5D5D5854" w14:textId="693D9B9E" w:rsidR="00513DED" w:rsidRDefault="00CB5559">
      <w:pPr>
        <w:pStyle w:val="Normal1"/>
      </w:pPr>
      <w:r>
        <w:t xml:space="preserve">Paper SC-01-20 showed that alternative periods and mapping resolutions have a substantial effect on effort maps and fished area estimates for demersal trawl fisheries in the western SPRFMO Convention Area. These effects vary as a result of historical trends in different fishing areas. Estimates of ‘fished area’ generated using any mapping resolution other than actual </w:t>
      </w:r>
      <w:r>
        <w:lastRenderedPageBreak/>
        <w:t>trawl tracks substantially exaggerate the areas within footprints that have actually been impacted: 86% to 91% of a footprint mapped using 6-minute blocks is actually unfished (i.e., 9-14% of the footprint area fished) and 95% to 96% of a footprint mapped using 20-minute blocks is unfished (i.e., 4-5% of the footprint area fished). The SC recommends to the Commission that:</w:t>
      </w:r>
    </w:p>
    <w:p w14:paraId="6112813B" w14:textId="77777777" w:rsidR="00513DED" w:rsidRDefault="00CB5559">
      <w:pPr>
        <w:pStyle w:val="Normal1"/>
        <w:numPr>
          <w:ilvl w:val="0"/>
          <w:numId w:val="4"/>
        </w:numPr>
        <w:ind w:hanging="359"/>
        <w:contextualSpacing/>
      </w:pPr>
      <w:r>
        <w:t>the smallest practical spatial scale should be used for defining footprints and for spatial management purposes; at present, the most practical spatial scale is 6-minute blocks;</w:t>
      </w:r>
    </w:p>
    <w:p w14:paraId="1DF491CC" w14:textId="77777777" w:rsidR="00513DED" w:rsidRDefault="00CB5559">
      <w:pPr>
        <w:pStyle w:val="Normal1"/>
        <w:numPr>
          <w:ilvl w:val="0"/>
          <w:numId w:val="4"/>
        </w:numPr>
        <w:ind w:hanging="359"/>
        <w:contextualSpacing/>
      </w:pPr>
      <w:r>
        <w:t>for defining the extent of fishery impacts on VMEs, the longest time period of historic effort information that is available for each fishery should be used provided that the quality (accuracy and completeness) of the positional data is adequate.</w:t>
      </w:r>
    </w:p>
    <w:p w14:paraId="4A89FF06" w14:textId="77777777" w:rsidR="00513DED" w:rsidRDefault="00CB5559">
      <w:pPr>
        <w:pStyle w:val="Normal1"/>
      </w:pPr>
      <w:r>
        <w:rPr>
          <w:i/>
        </w:rPr>
        <w:t>(g) develop maps of VME distribution in the Convention Area</w:t>
      </w:r>
    </w:p>
    <w:p w14:paraId="2B0960B3" w14:textId="77777777" w:rsidR="00513DED" w:rsidRDefault="00CB5559">
      <w:pPr>
        <w:pStyle w:val="Normal1"/>
      </w:pPr>
      <w:r>
        <w:t>Some research vessel-based survey work was conducted by New Zealand in 2014 to inform on VME distribution at the Louisville Ridge and provide data for supporting the on-going predictive modelling of the distribution of VME taxa and genetic connectivity studies.</w:t>
      </w:r>
    </w:p>
    <w:p w14:paraId="21CF6C80" w14:textId="77777777" w:rsidR="00513DED" w:rsidRDefault="00CB5559">
      <w:pPr>
        <w:pStyle w:val="Heading2"/>
        <w:contextualSpacing w:val="0"/>
      </w:pPr>
      <w:bookmarkStart w:id="7" w:name="h.w8jwdj13wgwx" w:colFirst="0" w:colLast="0"/>
      <w:bookmarkEnd w:id="7"/>
      <w:r>
        <w:t>7.4.</w:t>
      </w:r>
      <w:r>
        <w:tab/>
        <w:t>ABNJ Deepsea program</w:t>
      </w:r>
    </w:p>
    <w:p w14:paraId="2D822A31" w14:textId="77777777" w:rsidR="00513DED" w:rsidRDefault="00CB5559">
      <w:pPr>
        <w:pStyle w:val="Normal1"/>
        <w:spacing w:after="200"/>
      </w:pPr>
      <w:r>
        <w:t>A presentation was made by FAO to update the SC about the current status of the Areas Beyond National Jurisdiction (ABNJ) Project. After a short summary of the background of the Project, of which SPRFMO is one of the co-financing partners, the SC was informed about the global activities planned for the biennium 2014/15 that will foresee the contribution from SPRFMO. These are:</w:t>
      </w:r>
    </w:p>
    <w:p w14:paraId="75995C69" w14:textId="77777777" w:rsidR="00513DED" w:rsidRDefault="00CB5559">
      <w:pPr>
        <w:pStyle w:val="Normal1"/>
        <w:numPr>
          <w:ilvl w:val="0"/>
          <w:numId w:val="2"/>
        </w:numPr>
        <w:spacing w:after="0"/>
        <w:ind w:hanging="359"/>
        <w:contextualSpacing/>
      </w:pPr>
      <w:r>
        <w:rPr>
          <w:b/>
        </w:rPr>
        <w:t>The update of Worldwide Review of Deep Sea Fisheries</w:t>
      </w:r>
      <w:r>
        <w:t>: This updated review will address information gaps identified in the last review and will take into account progress made on monitoring of data-poor deep-sea stocks, and benefit from updated stock assessment for key species and new advances in assessment technologies. The review will be organized in close collaboration with the relevant regional bodies. As in the first edition, there will be a dedicated chapter on the SPRFMO region which will be shared with SPRFMO for review. A questionnaire has been prepared and is in the process of being sent out to States, entities and Regional Organizations. SPRFMO was then asked to contribute to updating the South Pacific chapter and to identify possible experts to contribute.</w:t>
      </w:r>
    </w:p>
    <w:p w14:paraId="177B1458" w14:textId="77777777" w:rsidR="00513DED" w:rsidRDefault="00513DED">
      <w:pPr>
        <w:pStyle w:val="Normal1"/>
        <w:spacing w:after="0"/>
      </w:pPr>
    </w:p>
    <w:p w14:paraId="67C83288" w14:textId="77777777" w:rsidR="00513DED" w:rsidRDefault="00CB5559">
      <w:pPr>
        <w:pStyle w:val="Normal1"/>
        <w:numPr>
          <w:ilvl w:val="0"/>
          <w:numId w:val="2"/>
        </w:numPr>
        <w:spacing w:after="0"/>
        <w:ind w:hanging="359"/>
        <w:contextualSpacing/>
      </w:pPr>
      <w:r>
        <w:rPr>
          <w:b/>
        </w:rPr>
        <w:t xml:space="preserve">VME Portal and Database: </w:t>
      </w:r>
      <w:r>
        <w:t>The VME Portal will provide general information on VMEs including sections on relevant publications, relevant international instruments, links to VME-related tools and terminology. The VME Database will contain comprehensive information on VME-related measures in ABNJ for each regional fisheries body. This database and website will serve as a tool for those involved in RFMOs and also as an information and awareness building tool for the general public. Both the VME Portal and Database will go live in October 2014. SPRFMO is already contributing to the database and FAO would appreciate SPRFMO’s comments on the database content and interface. A separate presentation on the VME Database was given to the SC.</w:t>
      </w:r>
    </w:p>
    <w:p w14:paraId="06477EF3" w14:textId="77777777" w:rsidR="00513DED" w:rsidRDefault="00513DED">
      <w:pPr>
        <w:pStyle w:val="Normal1"/>
        <w:spacing w:after="0"/>
      </w:pPr>
    </w:p>
    <w:p w14:paraId="7FDDE732" w14:textId="77777777" w:rsidR="00513DED" w:rsidRDefault="00CB5559">
      <w:pPr>
        <w:pStyle w:val="Normal1"/>
        <w:numPr>
          <w:ilvl w:val="0"/>
          <w:numId w:val="2"/>
        </w:numPr>
        <w:spacing w:after="0"/>
        <w:ind w:hanging="359"/>
        <w:contextualSpacing/>
      </w:pPr>
      <w:r>
        <w:rPr>
          <w:b/>
        </w:rPr>
        <w:t xml:space="preserve">Participation to a VME best practice workshop with contribution for the South Pacific Chapter: </w:t>
      </w:r>
      <w:r>
        <w:t>Compiling information on current practices on the identification of VMEs for each region will be developed as well as a summary of ‘best practices’ that will result from the review of each region’s work in relation to VMEs. SPRFMO will be consulted for the Chapter on the South Pacific and asked to identify possible experts that could contribute. This initiative is likely to be discussed at a meeting in Namibia in February/March 2015.</w:t>
      </w:r>
    </w:p>
    <w:p w14:paraId="7EFB6ED5" w14:textId="77777777" w:rsidR="00513DED" w:rsidRDefault="00513DED">
      <w:pPr>
        <w:pStyle w:val="Normal1"/>
        <w:spacing w:after="0"/>
        <w:ind w:left="720"/>
      </w:pPr>
    </w:p>
    <w:p w14:paraId="0ED7E362" w14:textId="77777777" w:rsidR="00513DED" w:rsidRDefault="00CB5559">
      <w:pPr>
        <w:pStyle w:val="Normal1"/>
        <w:numPr>
          <w:ilvl w:val="0"/>
          <w:numId w:val="2"/>
        </w:numPr>
        <w:spacing w:after="0"/>
        <w:ind w:hanging="359"/>
        <w:contextualSpacing/>
      </w:pPr>
      <w:r>
        <w:rPr>
          <w:b/>
        </w:rPr>
        <w:t xml:space="preserve">Species identification guide: </w:t>
      </w:r>
      <w:r>
        <w:t xml:space="preserve">FAO is looking into preparing similar products for the </w:t>
      </w:r>
      <w:r>
        <w:lastRenderedPageBreak/>
        <w:t>South Pacific and a first inventory of species has been developed and presented. FAO would be interested in having nominations of scientists or industry participants who could participate in an online discussion group for the final species selection and discussions on the guide.</w:t>
      </w:r>
    </w:p>
    <w:p w14:paraId="0B3ADFC7" w14:textId="77777777" w:rsidR="00513DED" w:rsidRDefault="00513DED">
      <w:pPr>
        <w:pStyle w:val="Normal1"/>
        <w:spacing w:after="0"/>
        <w:ind w:left="720"/>
      </w:pPr>
    </w:p>
    <w:p w14:paraId="6CA7791B" w14:textId="77777777" w:rsidR="00513DED" w:rsidRDefault="00CB5559">
      <w:pPr>
        <w:pStyle w:val="Normal1"/>
        <w:numPr>
          <w:ilvl w:val="0"/>
          <w:numId w:val="2"/>
        </w:numPr>
        <w:spacing w:after="200"/>
        <w:ind w:hanging="359"/>
        <w:contextualSpacing/>
      </w:pPr>
      <w:r>
        <w:rPr>
          <w:b/>
        </w:rPr>
        <w:t xml:space="preserve">A regional VME database meeting could be hosted in the South Pacific in 2015: </w:t>
      </w:r>
      <w:r>
        <w:t>FAO would like to seek the partnership of SPRFMO to organize such a meeting in the South Pacific. Such a Workshop would be along the lines of the other regional workshops organized by FAO in the Indian Ocean, Southeast Atlantic, North Pacific, and the one going on this week in the Caribbean. Another one is planned for the Mediterranean in 2015.</w:t>
      </w:r>
    </w:p>
    <w:p w14:paraId="6FDDFA44" w14:textId="77777777" w:rsidR="00513DED" w:rsidRDefault="00CB5559">
      <w:pPr>
        <w:pStyle w:val="Normal1"/>
        <w:spacing w:after="200"/>
      </w:pPr>
      <w:r>
        <w:t xml:space="preserve">Following the presentation, the Secretariat has informed participants that the Project will receive the support of SPRFMO. New Zealand reminded participants that species identification guides for the Western Pacific are already used on board vessels and that expertise and information are available to support this activity. </w:t>
      </w:r>
    </w:p>
    <w:p w14:paraId="31D6ED7A" w14:textId="77777777" w:rsidR="00513DED" w:rsidRDefault="00CB5559">
      <w:pPr>
        <w:pStyle w:val="Heading2"/>
        <w:contextualSpacing w:val="0"/>
      </w:pPr>
      <w:bookmarkStart w:id="8" w:name="h.h0s5ie8weqdr" w:colFirst="0" w:colLast="0"/>
      <w:bookmarkEnd w:id="8"/>
      <w:r>
        <w:t>7.5.</w:t>
      </w:r>
      <w:r>
        <w:tab/>
        <w:t xml:space="preserve">Future Deepwater Research program and identification of short term research and assessment requirements </w:t>
      </w:r>
    </w:p>
    <w:p w14:paraId="1D613505" w14:textId="77777777" w:rsidR="00513DED" w:rsidRDefault="00CB5559">
      <w:pPr>
        <w:pStyle w:val="Normal1"/>
        <w:spacing w:after="200"/>
      </w:pPr>
      <w:r>
        <w:t>The SC requests the Commission to provide clearly-defined management objectives for the fisheries to facilitate the SC work in developing a Research Programme with appropriate short and long-term elements that will enable the SC to develop and provide appropriate and timely advice to the Commission.</w:t>
      </w:r>
    </w:p>
    <w:p w14:paraId="353BB02C" w14:textId="77777777" w:rsidR="00513DED" w:rsidRDefault="00CB5559">
      <w:pPr>
        <w:pStyle w:val="Heading1"/>
      </w:pPr>
      <w:bookmarkStart w:id="9" w:name="h.hg88noy03jn7" w:colFirst="0" w:colLast="0"/>
      <w:bookmarkEnd w:id="9"/>
      <w:r>
        <w:t>8.</w:t>
      </w:r>
      <w:r>
        <w:tab/>
        <w:t>Ecosystem Approach to Fisheries Management</w:t>
      </w:r>
    </w:p>
    <w:p w14:paraId="4DE25A08" w14:textId="77777777" w:rsidR="00513DED" w:rsidRDefault="00CB5559">
      <w:pPr>
        <w:pStyle w:val="Heading2"/>
        <w:contextualSpacing w:val="0"/>
      </w:pPr>
      <w:bookmarkStart w:id="10" w:name="h.u0vu79m152zw" w:colFirst="0" w:colLast="0"/>
      <w:bookmarkEnd w:id="10"/>
      <w:r>
        <w:t>8.1.</w:t>
      </w:r>
      <w:r>
        <w:tab/>
        <w:t>Evaluate the impact of fishing activities (including, inter alia, gear type) on Ecologically or Biologically Significant Marine Areas (EBSAs) and on Vulnerable Marine Ecosystems (VMEs)</w:t>
      </w:r>
    </w:p>
    <w:p w14:paraId="7FA4BAC5" w14:textId="77777777" w:rsidR="00513DED" w:rsidRDefault="00CB5559">
      <w:pPr>
        <w:pStyle w:val="Normal1"/>
      </w:pPr>
      <w:r>
        <w:t xml:space="preserve">The SC suggests the Commission to consider declarations of EBSAs carefully. For example,  the South Louisville Ridge has been proposed as an EBSA; however, with appropriate spatial and monitoring and management, such declarations may be unnecessary. EBSA regional workshops result in proposals which identify these areas through the CBD process. </w:t>
      </w:r>
    </w:p>
    <w:p w14:paraId="6D9E1DE9" w14:textId="7B87E645" w:rsidR="00513DED" w:rsidRDefault="00CB5559">
      <w:pPr>
        <w:pStyle w:val="Normal1"/>
        <w:spacing w:after="200"/>
      </w:pPr>
      <w:r>
        <w:t xml:space="preserve">A number of EBSAs have been identified within the SPRFMO Convention Area  (http://www.cbd.int/ebsa/ebsas). The SC notes the need for the Commission to implement appropriate and precautionary measures to protect vulnerable elements of the ecosystem. </w:t>
      </w:r>
    </w:p>
    <w:p w14:paraId="65EE67B5" w14:textId="77777777" w:rsidR="00513DED" w:rsidRDefault="00CB5559">
      <w:pPr>
        <w:pStyle w:val="Normal1"/>
        <w:spacing w:after="200"/>
      </w:pPr>
      <w:r>
        <w:t>The SC recommends that the Commission:</w:t>
      </w:r>
    </w:p>
    <w:p w14:paraId="060D7289" w14:textId="77777777" w:rsidR="00513DED" w:rsidRDefault="00CB5559">
      <w:pPr>
        <w:pStyle w:val="Normal1"/>
        <w:numPr>
          <w:ilvl w:val="0"/>
          <w:numId w:val="1"/>
        </w:numPr>
        <w:spacing w:after="0"/>
        <w:ind w:hanging="359"/>
        <w:contextualSpacing/>
      </w:pPr>
      <w:r>
        <w:t>remains aware of EBSAs within the Convention Area and of the factors that led to their definition; and</w:t>
      </w:r>
    </w:p>
    <w:p w14:paraId="4CEF94D6" w14:textId="77777777" w:rsidR="00513DED" w:rsidRDefault="00CB5559">
      <w:pPr>
        <w:pStyle w:val="Normal1"/>
        <w:numPr>
          <w:ilvl w:val="0"/>
          <w:numId w:val="1"/>
        </w:numPr>
        <w:spacing w:after="200"/>
        <w:ind w:hanging="359"/>
        <w:contextualSpacing/>
      </w:pPr>
      <w:r>
        <w:t>addresses any conservation needs for EBSAs through the normal process of developing Conservation and Management Measures (CMMs) for the fisheries.</w:t>
      </w:r>
    </w:p>
    <w:p w14:paraId="1E2DAFE2" w14:textId="77777777" w:rsidR="00513DED" w:rsidRDefault="00CB5559">
      <w:pPr>
        <w:pStyle w:val="Heading2"/>
        <w:contextualSpacing w:val="0"/>
      </w:pPr>
      <w:bookmarkStart w:id="11" w:name="h.cd42z1qn29k0" w:colFirst="0" w:colLast="0"/>
      <w:bookmarkEnd w:id="11"/>
      <w:r>
        <w:t>8.2. VME database project</w:t>
      </w:r>
    </w:p>
    <w:p w14:paraId="59C13848" w14:textId="77777777" w:rsidR="00513DED" w:rsidRDefault="00CB5559">
      <w:pPr>
        <w:pStyle w:val="Normal1"/>
      </w:pPr>
      <w:r>
        <w:t>A second presentation by the FAO (Fabio Carocci) was made about the VME Database map viewer. The main features and contents have been shown through a series of screenshots together with the web-based application that each RFMO will use to manage its own data. The Committee was informed that the application is about to be released at the end of this month. The SPRFMO Secretariat informed the SC about the commitments to complete the submission. The SC was also informed that SPRFMO has not yet provided details of any VME closure measures, pending the decision from the Commission. Instead, the database currently contains a link to all CMMs related to bottom fisheries.</w:t>
      </w:r>
    </w:p>
    <w:p w14:paraId="6499116C" w14:textId="77777777" w:rsidR="00513DED" w:rsidRDefault="00CB5559">
      <w:pPr>
        <w:pStyle w:val="Heading1"/>
      </w:pPr>
      <w:bookmarkStart w:id="12" w:name="h.h1qwd6fmrkeg" w:colFirst="0" w:colLast="0"/>
      <w:bookmarkEnd w:id="12"/>
      <w:r>
        <w:lastRenderedPageBreak/>
        <w:t xml:space="preserve"> 9.</w:t>
      </w:r>
      <w:r>
        <w:tab/>
        <w:t>Review international best practices in bycatch, incidental catches and mitigation options in pelagic and bottom fisheries, and make appropriate recommendations</w:t>
      </w:r>
    </w:p>
    <w:p w14:paraId="5F3E5252" w14:textId="77777777" w:rsidR="00513DED" w:rsidRDefault="00CB5559">
      <w:pPr>
        <w:pStyle w:val="Normal1"/>
      </w:pPr>
      <w:r>
        <w:t>Marco Favero (Agreement on the Conservation of Albatrosses and Petrels - ACAP) introduced document SC-02-INF-06 on ACAP guide on hook removal from seabirds, recently finalised and available on the ACAP website in English (but also later in the year available in French, Spanish, Portuguese, Korean, Japanese, and Chinese languages). Other conservation guidelines developed by ACAP were briefly introduced, including the ACAP species assessments, the mitigation fact-sheets (co-branded between ACAP and BirdLife International), and the best practice guidelines with detailed and summarised information about methods to mitigate incidental mortality of seabirds in fisheries. The presentation also provided a brief overview of the albatross and petrel species listed under Annex 1 of the Agreement, and highlighted the importance of reporting data on bycatch at the smallest spatial-temporal scale possible and at a species level, in order for the SPRFMO to be able to understand the characteristics and dynamics of seabird bycatch in their fisheries.</w:t>
      </w:r>
    </w:p>
    <w:p w14:paraId="74E8F7D1" w14:textId="77777777" w:rsidR="00513DED" w:rsidRDefault="00CB5559">
      <w:pPr>
        <w:pStyle w:val="Normal1"/>
      </w:pPr>
      <w:r>
        <w:t>Marco Favero updated the SC on progress at the most recent meeting of the ACAP Seabird Bycatch Working Group in Uruguay in September 2014. Best practice advice for trawl and demersal longline fisheries was reviewed, but no changes were made, reinforcing the advice that was used to develop CMM 2.04. It was also highlighted that ACAP was further investigating seabird bycatch, and mitigation solutions, for other fisheries including purse seine and artisanal fisheries. Collection of data on seabird interactions with these fisheries, and subsequent reporting, was encouraged.</w:t>
      </w:r>
    </w:p>
    <w:p w14:paraId="2877F993" w14:textId="77777777" w:rsidR="00513DED" w:rsidRDefault="00CB5559">
      <w:pPr>
        <w:pStyle w:val="Normal1"/>
      </w:pPr>
      <w:r>
        <w:t>With respect to gear types other than trawl and longline (for example, purse seine for jack mackerel), ACAP indicated that they realise that other fishing methods can also affect seabirds and they are looking to provide advice on other fishing methods in the future.</w:t>
      </w:r>
    </w:p>
    <w:p w14:paraId="1DAE3E91" w14:textId="77777777" w:rsidR="00513DED" w:rsidRDefault="00CB5559">
      <w:pPr>
        <w:pStyle w:val="Heading1"/>
      </w:pPr>
      <w:bookmarkStart w:id="13" w:name="h.s22h3px760v4" w:colFirst="0" w:colLast="0"/>
      <w:bookmarkEnd w:id="13"/>
      <w:r>
        <w:t>10</w:t>
      </w:r>
      <w:r>
        <w:tab/>
        <w:t>Review CMM 2.02 (data standards) to ensure a full understanding of nature and  extent of bycatch interactions across all fisheries</w:t>
      </w:r>
    </w:p>
    <w:p w14:paraId="40A30310" w14:textId="77777777" w:rsidR="00513DED" w:rsidRDefault="00CB5559">
      <w:pPr>
        <w:pStyle w:val="Normal1"/>
        <w:spacing w:line="276" w:lineRule="auto"/>
      </w:pPr>
      <w:r>
        <w:rPr>
          <w:sz w:val="24"/>
        </w:rPr>
        <w:t>The Secretariat presented SC-02-23 which provided a summary of bird, mammal, reptile and shark bycatch records received by the SPRFMO Secretariat between 2008 and 2013 from countries’ activity reports and from observer reports. Observer coverage required by SPRFMO varies by fisheries (bottom trawl 100%, other bottom gear and jack mackerel fisheries 10%), and it was noted that in most cases these observer rates were fulfilled or surpassed. The bycatch information contained in fishing activity reports was incomplete whereas observer reports from deepsea fisheries contained more comprehensive bycatch records, in particular various shark species (mostly whitetip reef sharks [</w:t>
      </w:r>
      <w:r>
        <w:rPr>
          <w:i/>
          <w:sz w:val="24"/>
        </w:rPr>
        <w:t>Triaenodon obesus</w:t>
      </w:r>
      <w:r>
        <w:rPr>
          <w:sz w:val="24"/>
        </w:rPr>
        <w:t>] and one incident of the CITES Appendix II listed hammerhead shark [</w:t>
      </w:r>
      <w:r>
        <w:rPr>
          <w:i/>
          <w:sz w:val="24"/>
        </w:rPr>
        <w:t>Sphyrna</w:t>
      </w:r>
      <w:r>
        <w:rPr>
          <w:sz w:val="24"/>
        </w:rPr>
        <w:t xml:space="preserve"> spp.])</w:t>
      </w:r>
      <w:r>
        <w:rPr>
          <w:i/>
          <w:sz w:val="24"/>
        </w:rPr>
        <w:t xml:space="preserve">. </w:t>
      </w:r>
      <w:r>
        <w:rPr>
          <w:sz w:val="24"/>
        </w:rPr>
        <w:t>No bycatch information of sharks, mammals, birds and reptiles was obtained from the jack mackerel and squid fisheries. It was noted that, in order to better interpret observer coverage levels in relation to bycatch of seabirds and other species of concern, it was important to report the proportion of effort specifically observed for these events (and as proposed in SC-02-11).</w:t>
      </w:r>
    </w:p>
    <w:p w14:paraId="48B9541B" w14:textId="77777777" w:rsidR="00513DED" w:rsidRDefault="00CB5559">
      <w:pPr>
        <w:pStyle w:val="Normal1"/>
        <w:spacing w:line="276" w:lineRule="auto"/>
      </w:pPr>
      <w:r>
        <w:rPr>
          <w:sz w:val="24"/>
        </w:rPr>
        <w:t xml:space="preserve">At SC-01, a paper was presented on the review of bycatch data collection and reporting standards, which contained recommendations for improvement of the relevant SPRFMO data standards (SC-01-11). In order to progress this consideration further, a tracked-change version of CMM 2.02, paper SC-02-11, was presented by Igor Debski. The proposed changes addressed the key recommendations from SC-01-11 and </w:t>
      </w:r>
      <w:r>
        <w:rPr>
          <w:sz w:val="24"/>
        </w:rPr>
        <w:lastRenderedPageBreak/>
        <w:t>included reference to the bycatch mitigation measures referred to in CMM 2.04. Intersessional collaboration on the detail of the proposed changes was encouraged prior to the submission of a revised data collection CMM to the Commission for their consideration.</w:t>
      </w:r>
    </w:p>
    <w:p w14:paraId="08DC5ABE" w14:textId="77777777" w:rsidR="00513DED" w:rsidRDefault="00CB5559">
      <w:pPr>
        <w:pStyle w:val="Normal1"/>
        <w:spacing w:line="276" w:lineRule="auto"/>
      </w:pPr>
      <w:r>
        <w:rPr>
          <w:sz w:val="24"/>
        </w:rPr>
        <w:t>Italo Campodonico presented paper SC-02-20, which identified that an important amount of information is currently being collected by observers at the point of landing or port. These observations are a significant source of information for vessels not covered by observations at sea. The paper recommended an amendment of paragraph 2 and an addition of a Part L into Annex 7 of CMM 2.02. This will provide an adequate standard for collection and reporting of observer data at landings (port sampling data) and will enable this information to be included in the SPRFMO database. The proposed Part should be added within Annex 7, Observer Data, to maintain consistency of the document.</w:t>
      </w:r>
    </w:p>
    <w:p w14:paraId="0891D0B7" w14:textId="77777777" w:rsidR="00513DED" w:rsidRDefault="00CB5559">
      <w:pPr>
        <w:pStyle w:val="Normal1"/>
        <w:spacing w:line="276" w:lineRule="auto"/>
      </w:pPr>
      <w:r>
        <w:rPr>
          <w:sz w:val="24"/>
        </w:rPr>
        <w:t>The SC recognised the importance of collecting these data, and the opportunity to extend port-based data collection to include bycatch mitigation devices was also identified. It was agreed that intersessional work would be required to further develop the detail of proposed changes, and once agreed could be considered by the Commission alongside changes proposed in relation to seabird bycatch.</w:t>
      </w:r>
    </w:p>
    <w:p w14:paraId="5D00BDF7" w14:textId="77777777" w:rsidR="00513DED" w:rsidRDefault="00CB5559">
      <w:pPr>
        <w:pStyle w:val="Normal1"/>
        <w:spacing w:line="276" w:lineRule="auto"/>
      </w:pPr>
      <w:r>
        <w:rPr>
          <w:sz w:val="24"/>
        </w:rPr>
        <w:t>The SC also discussed the importance of ensuring adequate data on shark, and other fish, bycatch are collected and reported. It was highlighted that current data collection protocols for catch reporting may exclude recording data on species where captures are less than 100kg. The SC recognised the scientific merit in maximising the collection of such data using existing observer programmes, noting that new species had been described as a result of observer records of bycatch. Further intersessional collaboration in the this regards was encouraged.</w:t>
      </w:r>
    </w:p>
    <w:p w14:paraId="0084A37F" w14:textId="77777777" w:rsidR="00513DED" w:rsidRDefault="00CB5559">
      <w:pPr>
        <w:pStyle w:val="Heading2"/>
        <w:contextualSpacing w:val="0"/>
      </w:pPr>
      <w:bookmarkStart w:id="14" w:name="h.jksulwr5ibch" w:colFirst="0" w:colLast="0"/>
      <w:bookmarkEnd w:id="14"/>
      <w:r>
        <w:t>10.1 Risk to seabird species in the Convention Area and possible mitigation measures to minimise impacts</w:t>
      </w:r>
    </w:p>
    <w:p w14:paraId="7B80EECA" w14:textId="77777777" w:rsidR="00513DED" w:rsidRDefault="00CB5559">
      <w:pPr>
        <w:pStyle w:val="Normal1"/>
      </w:pPr>
      <w:r>
        <w:t>No papers were received that specifically assessed the level of risk to seabirds posed by trawl fisheries, with reference to the discarding of biological material, in the SPRFMO Area. However, two papers (SC-02-13 and SC-02-12) provided contextual information on considerations that should be made when making any such assessments.</w:t>
      </w:r>
    </w:p>
    <w:p w14:paraId="1C55A94E" w14:textId="77777777" w:rsidR="00513DED" w:rsidRDefault="00CB5559">
      <w:pPr>
        <w:pStyle w:val="Normal1"/>
      </w:pPr>
      <w:r>
        <w:t>Igor Debski presented paper SC-02-13, that introduced the concept of seabird cryptic mortality. The paper reviewed existing research and illustrated estimation methods that allow for consideration of the full extent of risk that fisheries pose to seabird species through bycatch. The focus of the paper was on trawl fisheries, but longline methods were also covered. The SC recognised that:</w:t>
      </w:r>
    </w:p>
    <w:p w14:paraId="1D4CE656" w14:textId="77777777" w:rsidR="00513DED" w:rsidRDefault="00CB5559">
      <w:pPr>
        <w:pStyle w:val="Normal1"/>
        <w:numPr>
          <w:ilvl w:val="0"/>
          <w:numId w:val="9"/>
        </w:numPr>
        <w:spacing w:after="0"/>
        <w:ind w:hanging="359"/>
        <w:contextualSpacing/>
      </w:pPr>
      <w:r>
        <w:t>seabird cryptic mortality refers to unobserved mortality of seabirds interacting with fishing gear;</w:t>
      </w:r>
    </w:p>
    <w:p w14:paraId="2A2D3248" w14:textId="77777777" w:rsidR="00513DED" w:rsidRDefault="00CB5559">
      <w:pPr>
        <w:pStyle w:val="Normal1"/>
        <w:numPr>
          <w:ilvl w:val="0"/>
          <w:numId w:val="9"/>
        </w:numPr>
        <w:spacing w:after="0"/>
        <w:ind w:hanging="359"/>
        <w:contextualSpacing/>
      </w:pPr>
      <w:r>
        <w:t>there are a number of components of cryptic mortality, in both longline and trawl fisheries;</w:t>
      </w:r>
    </w:p>
    <w:p w14:paraId="22EEC11C" w14:textId="77777777" w:rsidR="00513DED" w:rsidRDefault="00CB5559">
      <w:pPr>
        <w:pStyle w:val="Normal1"/>
        <w:numPr>
          <w:ilvl w:val="0"/>
          <w:numId w:val="9"/>
        </w:numPr>
        <w:spacing w:after="0"/>
        <w:ind w:hanging="359"/>
        <w:contextualSpacing/>
      </w:pPr>
      <w:r>
        <w:t>the number of seabirds observed bycaught in both trawl and longline fishing methods is likely to underestimate the true mortality of seabirds interacting with fishing gear;</w:t>
      </w:r>
    </w:p>
    <w:p w14:paraId="3C73178E" w14:textId="77777777" w:rsidR="00513DED" w:rsidRDefault="00CB5559">
      <w:pPr>
        <w:pStyle w:val="Normal1"/>
        <w:numPr>
          <w:ilvl w:val="0"/>
          <w:numId w:val="9"/>
        </w:numPr>
        <w:spacing w:after="0"/>
        <w:ind w:hanging="359"/>
        <w:contextualSpacing/>
      </w:pPr>
      <w:r>
        <w:lastRenderedPageBreak/>
        <w:t>research to quantify cryptic mortality is limited and further work is encouraged;</w:t>
      </w:r>
    </w:p>
    <w:p w14:paraId="265B67E6" w14:textId="77777777" w:rsidR="00513DED" w:rsidRDefault="00CB5559">
      <w:pPr>
        <w:pStyle w:val="Normal1"/>
        <w:numPr>
          <w:ilvl w:val="0"/>
          <w:numId w:val="9"/>
        </w:numPr>
        <w:spacing w:after="0"/>
        <w:ind w:hanging="359"/>
        <w:contextualSpacing/>
      </w:pPr>
      <w:r>
        <w:t>numerical methods exist to extrapolate observed seabird bycatch to total bycatch but there is substantial uncertainty due to limited quantitative data on cryptic mortality;</w:t>
      </w:r>
    </w:p>
    <w:p w14:paraId="1BAD96B5" w14:textId="77777777" w:rsidR="00513DED" w:rsidRDefault="00CB5559">
      <w:pPr>
        <w:pStyle w:val="Normal1"/>
        <w:numPr>
          <w:ilvl w:val="0"/>
          <w:numId w:val="9"/>
        </w:numPr>
        <w:spacing w:after="0"/>
        <w:ind w:hanging="359"/>
        <w:contextualSpacing/>
      </w:pPr>
      <w:r>
        <w:t>cryptic mortality extrapolation multipliers are particularly high in trawl fisheries and vary between seabird species; and</w:t>
      </w:r>
    </w:p>
    <w:p w14:paraId="6D7B6169" w14:textId="77777777" w:rsidR="00513DED" w:rsidRDefault="00CB5559">
      <w:pPr>
        <w:pStyle w:val="Normal1"/>
        <w:numPr>
          <w:ilvl w:val="0"/>
          <w:numId w:val="9"/>
        </w:numPr>
        <w:spacing w:after="200"/>
        <w:ind w:hanging="359"/>
        <w:contextualSpacing/>
      </w:pPr>
      <w:r>
        <w:t>it is appropriate that total mortality of seabirds, including cryptic mortality, be considered when assessing the risk that fisheries pose to seabirds.</w:t>
      </w:r>
    </w:p>
    <w:p w14:paraId="3154FA2C" w14:textId="77777777" w:rsidR="00513DED" w:rsidRDefault="00CB5559">
      <w:pPr>
        <w:pStyle w:val="Normal1"/>
        <w:spacing w:after="200"/>
      </w:pPr>
      <w:r>
        <w:t>Chile indicated that they have now banned disposal of fish hooks at sea to reduce cryptic mortality. The SC also discussed potential regional differences in cryptic mortality. New Zealand indicated that while this may vary regionally,  sufficient studies to allow regional comparisons have not been undertaken.</w:t>
      </w:r>
    </w:p>
    <w:p w14:paraId="240E3BBC" w14:textId="77777777" w:rsidR="00513DED" w:rsidRDefault="00CB5559">
      <w:pPr>
        <w:pStyle w:val="Normal1"/>
        <w:spacing w:after="200"/>
      </w:pPr>
      <w:r>
        <w:t xml:space="preserve">When queried about how mitigation was taken into consideration when estimating cryptic mortality it was noted by New Zealand  that, if mitigation is used, you get less mortality/cryptic mortality but the same scalar is used to estimate cryptic mortality.  </w:t>
      </w:r>
    </w:p>
    <w:p w14:paraId="5116554A" w14:textId="77777777" w:rsidR="00513DED" w:rsidRDefault="00CB5559">
      <w:pPr>
        <w:pStyle w:val="Normal1"/>
        <w:spacing w:after="200"/>
      </w:pPr>
      <w:r>
        <w:t>Igor Debski presented paper SC-02-12, that reviewed existing research on the bycatch risk to seabirds, across a range discharge and discard regimes. The SC recognised that:</w:t>
      </w:r>
    </w:p>
    <w:p w14:paraId="60D2E859" w14:textId="77777777" w:rsidR="00513DED" w:rsidRDefault="00CB5559">
      <w:pPr>
        <w:pStyle w:val="Normal1"/>
        <w:numPr>
          <w:ilvl w:val="0"/>
          <w:numId w:val="7"/>
        </w:numPr>
        <w:spacing w:before="120" w:line="257" w:lineRule="auto"/>
        <w:ind w:hanging="359"/>
        <w:contextualSpacing/>
        <w:rPr>
          <w:b/>
        </w:rPr>
      </w:pPr>
      <w:r>
        <w:t>discharge of fish processing waste is a key attractant to seabirds that increases the risk of seabird bycatch;</w:t>
      </w:r>
    </w:p>
    <w:p w14:paraId="162890D3" w14:textId="77777777" w:rsidR="00513DED" w:rsidRDefault="00CB5559">
      <w:pPr>
        <w:pStyle w:val="Normal1"/>
        <w:numPr>
          <w:ilvl w:val="0"/>
          <w:numId w:val="7"/>
        </w:numPr>
        <w:spacing w:before="120" w:line="257" w:lineRule="auto"/>
        <w:ind w:hanging="359"/>
        <w:contextualSpacing/>
      </w:pPr>
      <w:r>
        <w:t>research has shown that when offal, discards, and minced waste are not discharged, the presence of sump pump discharge from trawlers still exacerbates seabird bycatch risk;</w:t>
      </w:r>
    </w:p>
    <w:p w14:paraId="2D48B71C" w14:textId="77777777" w:rsidR="00513DED" w:rsidRDefault="00CB5559">
      <w:pPr>
        <w:pStyle w:val="Normal1"/>
        <w:numPr>
          <w:ilvl w:val="0"/>
          <w:numId w:val="7"/>
        </w:numPr>
        <w:spacing w:before="120" w:line="257" w:lineRule="auto"/>
        <w:ind w:hanging="359"/>
        <w:contextualSpacing/>
      </w:pPr>
      <w:r>
        <w:t>because sump pump discharge can exacerbate seabird bycatch risk, this must be considered when defining the presence or absence of discharge; and</w:t>
      </w:r>
    </w:p>
    <w:p w14:paraId="59A57973" w14:textId="77777777" w:rsidR="00513DED" w:rsidRDefault="00CB5559">
      <w:pPr>
        <w:pStyle w:val="Normal1"/>
        <w:numPr>
          <w:ilvl w:val="0"/>
          <w:numId w:val="7"/>
        </w:numPr>
        <w:spacing w:before="120" w:line="257" w:lineRule="auto"/>
        <w:ind w:hanging="359"/>
        <w:contextualSpacing/>
      </w:pPr>
      <w:r>
        <w:t>there is a continuum of offal and discard management strategies available to minimise the attractiveness of fishing vessels to seabirds.</w:t>
      </w:r>
    </w:p>
    <w:p w14:paraId="3C31072C" w14:textId="77777777" w:rsidR="00513DED" w:rsidRDefault="00CB5559">
      <w:pPr>
        <w:pStyle w:val="Normal1"/>
      </w:pPr>
      <w:r>
        <w:t>The SC noted that there had been a request to collect more information on seabirds around fishing vessels, but standard protocols were not established. Marco Favero and Igor Debski offered to coordinate some work with ACAP to provide standard bird observation protocols, which could be made available to SPRFMO and provided on the SPRFMO web pages. This would allow Participants to collect and report comparable data to the SC in future.</w:t>
      </w:r>
    </w:p>
    <w:p w14:paraId="3FECE705" w14:textId="77777777" w:rsidR="00513DED" w:rsidRDefault="00CB5559">
      <w:pPr>
        <w:pStyle w:val="Normal1"/>
      </w:pPr>
      <w:r>
        <w:t>Chile presented paper SC-02-19 titled overview of the fisheries and seabird bycatch in Chile.   The paper outlined new legislation adopted for minimizing bycatch and promote good practices in fishing operations.</w:t>
      </w:r>
    </w:p>
    <w:p w14:paraId="7E6781F4" w14:textId="77777777" w:rsidR="00513DED" w:rsidRDefault="00CB5559">
      <w:pPr>
        <w:pStyle w:val="Heading1"/>
      </w:pPr>
      <w:bookmarkStart w:id="15" w:name="h.p5lo5os0uwgq" w:colFirst="0" w:colLast="0"/>
      <w:bookmarkEnd w:id="15"/>
      <w:r>
        <w:t>11.</w:t>
      </w:r>
      <w:r>
        <w:tab/>
        <w:t>Recommended level and type of observer coverage for demersal longline and trawl fisheries to provide reliable estimates of seabird mortality</w:t>
      </w:r>
    </w:p>
    <w:p w14:paraId="63F1775B" w14:textId="77777777" w:rsidR="00513DED" w:rsidRDefault="00CB5559">
      <w:pPr>
        <w:pStyle w:val="Normal1"/>
        <w:spacing w:line="276" w:lineRule="auto"/>
      </w:pPr>
      <w:r>
        <w:rPr>
          <w:sz w:val="24"/>
        </w:rPr>
        <w:t>Igor Debski presented paper SC-02-14, that reviewed observer coverage in place in longline and trawl fisheries internationally, identified limitations inherent in suboptimal levels of coverage, and provided some example results from New Zealand demersal longline and trawl fisheries. Whilst this paper was focussed on seabirds, as tasked in the Roadmap, similar principles will apply to the consideration of observer coverage required to monitor the bycatch of other species of concern. The SC recognised that:</w:t>
      </w:r>
    </w:p>
    <w:p w14:paraId="417CD8DE" w14:textId="77777777" w:rsidR="00513DED" w:rsidRDefault="00CB5559">
      <w:pPr>
        <w:pStyle w:val="Normal1"/>
        <w:numPr>
          <w:ilvl w:val="0"/>
          <w:numId w:val="7"/>
        </w:numPr>
        <w:spacing w:before="120" w:line="257" w:lineRule="auto"/>
        <w:ind w:hanging="359"/>
        <w:contextualSpacing/>
        <w:rPr>
          <w:b/>
        </w:rPr>
      </w:pPr>
      <w:r>
        <w:t>the extent of observer coverage needed to generate robust bycatch estimates varies with the characteristics of the fishery being monitored, species of interest, and bycatch patterns; and</w:t>
      </w:r>
    </w:p>
    <w:p w14:paraId="6D988B52" w14:textId="77777777" w:rsidR="00513DED" w:rsidRDefault="00CB5559">
      <w:pPr>
        <w:pStyle w:val="Normal1"/>
        <w:numPr>
          <w:ilvl w:val="0"/>
          <w:numId w:val="7"/>
        </w:numPr>
        <w:spacing w:before="120" w:line="257" w:lineRule="auto"/>
        <w:ind w:hanging="359"/>
        <w:contextualSpacing/>
        <w:rPr>
          <w:b/>
        </w:rPr>
      </w:pPr>
      <w:r>
        <w:t>observer coverage levels of 5% may be adequate to collect information to identifying some bycatch risks and issues; and</w:t>
      </w:r>
    </w:p>
    <w:p w14:paraId="1025BE5B" w14:textId="77777777" w:rsidR="00513DED" w:rsidRDefault="00CB5559">
      <w:pPr>
        <w:pStyle w:val="Normal1"/>
        <w:numPr>
          <w:ilvl w:val="0"/>
          <w:numId w:val="7"/>
        </w:numPr>
        <w:spacing w:before="120" w:line="257" w:lineRule="auto"/>
        <w:ind w:hanging="359"/>
        <w:contextualSpacing/>
        <w:rPr>
          <w:b/>
        </w:rPr>
      </w:pPr>
      <w:r>
        <w:lastRenderedPageBreak/>
        <w:t>in general, to robustly estimate bycatch levels of more frequently caught species, observer coverage levels of 20% or more may be necessary, whereas to estimate bycatch of species caught infrequently, coverage levels of 50% to almost 100% may be necessary; and</w:t>
      </w:r>
    </w:p>
    <w:p w14:paraId="13045C63" w14:textId="77777777" w:rsidR="00513DED" w:rsidRDefault="00CB5559">
      <w:pPr>
        <w:pStyle w:val="Normal1"/>
        <w:numPr>
          <w:ilvl w:val="0"/>
          <w:numId w:val="7"/>
        </w:numPr>
        <w:spacing w:before="120" w:line="257" w:lineRule="auto"/>
        <w:ind w:hanging="359"/>
        <w:contextualSpacing/>
        <w:rPr>
          <w:b/>
        </w:rPr>
      </w:pPr>
      <w:r>
        <w:t>even with high levels of observer coverage there can be unobserved bycatch (i.e. “cryptic” mortality), and this can vary substantially between fisheries.</w:t>
      </w:r>
    </w:p>
    <w:p w14:paraId="295905B4" w14:textId="77777777" w:rsidR="00513DED" w:rsidRDefault="00CB5559">
      <w:pPr>
        <w:pStyle w:val="Heading1"/>
      </w:pPr>
      <w:bookmarkStart w:id="16" w:name="h.bs8getgmehy4" w:colFirst="0" w:colLast="0"/>
      <w:bookmarkEnd w:id="16"/>
      <w:r>
        <w:t>12. Sampling scheme design for offloading fish in ports</w:t>
      </w:r>
    </w:p>
    <w:p w14:paraId="573C85A8" w14:textId="77777777" w:rsidR="00513DED" w:rsidRDefault="00CB5559">
      <w:pPr>
        <w:pStyle w:val="Normal1"/>
        <w:spacing w:line="276" w:lineRule="auto"/>
      </w:pPr>
      <w:r>
        <w:rPr>
          <w:sz w:val="24"/>
        </w:rPr>
        <w:t>Paper SC-02-20 was discussed in Agenda item 10.</w:t>
      </w:r>
    </w:p>
    <w:p w14:paraId="47E071DF" w14:textId="77777777" w:rsidR="00513DED" w:rsidRDefault="00CB5559">
      <w:pPr>
        <w:pStyle w:val="Heading1"/>
      </w:pPr>
      <w:bookmarkStart w:id="17" w:name="h.2dvi9iesheng" w:colFirst="0" w:colLast="0"/>
      <w:bookmarkEnd w:id="17"/>
      <w:r>
        <w:t>13.</w:t>
      </w:r>
      <w:r>
        <w:tab/>
        <w:t>Advice to the Commission</w:t>
      </w:r>
    </w:p>
    <w:p w14:paraId="087D4AD0" w14:textId="77777777" w:rsidR="00513DED" w:rsidRDefault="00CB5559">
      <w:pPr>
        <w:pStyle w:val="Heading2"/>
        <w:contextualSpacing w:val="0"/>
      </w:pPr>
      <w:bookmarkStart w:id="18" w:name="h.2muy21i7kdml" w:colFirst="0" w:colLast="0"/>
      <w:bookmarkEnd w:id="18"/>
      <w:r>
        <w:t>13.1. Jack Mackerel</w:t>
      </w:r>
    </w:p>
    <w:p w14:paraId="49ABB606" w14:textId="77777777" w:rsidR="00513DED" w:rsidRDefault="00CB5559">
      <w:pPr>
        <w:pStyle w:val="Normal1"/>
      </w:pPr>
      <w:r>
        <w:t>Short term TAC advice on Jack Mackerel has been taken up under section 6.3.</w:t>
      </w:r>
    </w:p>
    <w:p w14:paraId="5B72E150" w14:textId="77777777" w:rsidR="00513DED" w:rsidRDefault="00CB5559">
      <w:pPr>
        <w:pStyle w:val="Heading2"/>
        <w:contextualSpacing w:val="0"/>
      </w:pPr>
      <w:bookmarkStart w:id="19" w:name="h.f10n61ff03aq" w:colFirst="0" w:colLast="0"/>
      <w:bookmarkEnd w:id="19"/>
      <w:r>
        <w:t>13.2. Deepwater</w:t>
      </w:r>
    </w:p>
    <w:p w14:paraId="613AB1CC" w14:textId="77777777" w:rsidR="00513DED" w:rsidRDefault="00CB5559">
      <w:pPr>
        <w:pStyle w:val="Normal1"/>
      </w:pPr>
      <w:r>
        <w:t xml:space="preserve">Advice and recommendations on </w:t>
      </w:r>
      <w:r>
        <w:rPr>
          <w:i/>
        </w:rPr>
        <w:t>criteria for what constitutes evidence of an encounter with a VME</w:t>
      </w:r>
      <w:r>
        <w:t xml:space="preserve"> has been taken up under section 7.3c.</w:t>
      </w:r>
    </w:p>
    <w:p w14:paraId="23C3C2FE" w14:textId="77777777" w:rsidR="00513DED" w:rsidRDefault="00CB5559">
      <w:pPr>
        <w:pStyle w:val="Normal1"/>
      </w:pPr>
      <w:r>
        <w:t>Advice and recommendations to the Commission on the most appropriate response to a VME encounter, including inter alia closing particular areas to a particular gear type or types section has been taken up under section 7.3d.</w:t>
      </w:r>
    </w:p>
    <w:p w14:paraId="281C429F" w14:textId="77777777" w:rsidR="00513DED" w:rsidRDefault="00CB5559">
      <w:pPr>
        <w:pStyle w:val="Normal1"/>
      </w:pPr>
      <w:r>
        <w:t>Advice on the appropriate spatial resolution and time period for footprint mapping has been taken up under section 7.3f.</w:t>
      </w:r>
    </w:p>
    <w:p w14:paraId="5F349804" w14:textId="77777777" w:rsidR="00513DED" w:rsidRDefault="00CB5559">
      <w:pPr>
        <w:pStyle w:val="Heading2"/>
        <w:contextualSpacing w:val="0"/>
      </w:pPr>
      <w:bookmarkStart w:id="20" w:name="h.wsib33lrcsrs" w:colFirst="0" w:colLast="0"/>
      <w:bookmarkEnd w:id="20"/>
      <w:r>
        <w:t>13.3. Other</w:t>
      </w:r>
    </w:p>
    <w:p w14:paraId="7FB8AB83" w14:textId="77777777" w:rsidR="00513DED" w:rsidRDefault="00CB5559">
      <w:pPr>
        <w:pStyle w:val="Normal1"/>
      </w:pPr>
      <w:r>
        <w:t xml:space="preserve">The SC recommends that international experiences with regard to management of VMEs are reviewed and reported to the SC and Commission. </w:t>
      </w:r>
    </w:p>
    <w:p w14:paraId="6A98CD87" w14:textId="77777777" w:rsidR="00513DED" w:rsidRDefault="00CB5559">
      <w:pPr>
        <w:pStyle w:val="Heading1"/>
      </w:pPr>
      <w:bookmarkStart w:id="21" w:name="h.2fxdjcq3odyv" w:colFirst="0" w:colLast="0"/>
      <w:bookmarkEnd w:id="21"/>
      <w:r>
        <w:t>14.</w:t>
      </w:r>
      <w:r>
        <w:tab/>
        <w:t>SC Research Programme and identification of other short term research and assessment requirements</w:t>
      </w:r>
    </w:p>
    <w:p w14:paraId="0311A783" w14:textId="77777777" w:rsidR="00513DED" w:rsidRDefault="00CB5559">
      <w:pPr>
        <w:pStyle w:val="Normal1"/>
      </w:pPr>
      <w:r>
        <w:t xml:space="preserve">The identified research requirements were: </w:t>
      </w:r>
    </w:p>
    <w:p w14:paraId="5753FC8B" w14:textId="77777777" w:rsidR="00513DED" w:rsidRDefault="00CB5559">
      <w:pPr>
        <w:pStyle w:val="Normal1"/>
        <w:numPr>
          <w:ilvl w:val="0"/>
          <w:numId w:val="6"/>
        </w:numPr>
        <w:ind w:hanging="359"/>
        <w:contextualSpacing/>
      </w:pPr>
      <w:r>
        <w:t>The organisation of a data workshop (see section 6.5)</w:t>
      </w:r>
    </w:p>
    <w:p w14:paraId="4C0C43EE" w14:textId="77777777" w:rsidR="00513DED" w:rsidRDefault="00CB5559">
      <w:pPr>
        <w:pStyle w:val="Normal1"/>
        <w:numPr>
          <w:ilvl w:val="0"/>
          <w:numId w:val="6"/>
        </w:numPr>
        <w:ind w:hanging="359"/>
        <w:contextualSpacing/>
      </w:pPr>
      <w:r>
        <w:t>The establishment of a task-team on opportunistic fisheries data collection (see section 6.5)</w:t>
      </w:r>
    </w:p>
    <w:p w14:paraId="0D96CD5E" w14:textId="77777777" w:rsidR="00513DED" w:rsidRDefault="00CB5559">
      <w:pPr>
        <w:pStyle w:val="Normal1"/>
        <w:numPr>
          <w:ilvl w:val="0"/>
          <w:numId w:val="6"/>
        </w:numPr>
        <w:spacing w:after="200"/>
        <w:ind w:hanging="359"/>
        <w:contextualSpacing/>
      </w:pPr>
      <w:r>
        <w:t>The request for ide clearly defined management objectives for deep-water fisheries to facilitate the SC in  developing a Research Programme  (see section 7.5)</w:t>
      </w:r>
    </w:p>
    <w:p w14:paraId="6D5142B2" w14:textId="77777777" w:rsidR="00513DED" w:rsidRDefault="00CB5559">
      <w:pPr>
        <w:pStyle w:val="Heading1"/>
      </w:pPr>
      <w:bookmarkStart w:id="22" w:name="h.tiy539p9r4hj" w:colFirst="0" w:colLast="0"/>
      <w:bookmarkEnd w:id="22"/>
      <w:r>
        <w:t>15.</w:t>
      </w:r>
      <w:r>
        <w:tab/>
        <w:t>Next Meeting</w:t>
      </w:r>
    </w:p>
    <w:p w14:paraId="6178A5AA" w14:textId="77777777" w:rsidR="00513DED" w:rsidRDefault="00CB5559">
      <w:pPr>
        <w:pStyle w:val="Normal1"/>
      </w:pPr>
      <w:r>
        <w:t>EU delegation indicated that Tahiti might be a possibility to hold it there based on contact that has been made. Funding for this invitation would be pending.</w:t>
      </w:r>
    </w:p>
    <w:p w14:paraId="6C786676" w14:textId="77777777" w:rsidR="00513DED" w:rsidRDefault="00CB5559">
      <w:pPr>
        <w:pStyle w:val="Normal1"/>
      </w:pPr>
      <w:r>
        <w:t xml:space="preserve">Chile also offers to host as well. The SC expressed the desire to hold the meeting later to enable more data collection.  </w:t>
      </w:r>
    </w:p>
    <w:p w14:paraId="61FFB8CC" w14:textId="77777777" w:rsidR="00513DED" w:rsidRDefault="00CB5559">
      <w:pPr>
        <w:pStyle w:val="Normal1"/>
      </w:pPr>
      <w:r>
        <w:t xml:space="preserve">The SC suggests to hold its next meeting in the week of … to … </w:t>
      </w:r>
    </w:p>
    <w:p w14:paraId="2A6154BC" w14:textId="77777777" w:rsidR="00513DED" w:rsidRDefault="00CB5559">
      <w:pPr>
        <w:pStyle w:val="Heading1"/>
      </w:pPr>
      <w:bookmarkStart w:id="23" w:name="h.v2ujqv90409n" w:colFirst="0" w:colLast="0"/>
      <w:bookmarkEnd w:id="23"/>
      <w:r>
        <w:t>16.</w:t>
      </w:r>
      <w:r>
        <w:tab/>
        <w:t>Other Matters</w:t>
      </w:r>
    </w:p>
    <w:p w14:paraId="72FC75FA" w14:textId="77777777" w:rsidR="00513DED" w:rsidRDefault="00513DED">
      <w:pPr>
        <w:pStyle w:val="Normal1"/>
      </w:pPr>
    </w:p>
    <w:p w14:paraId="5A46F52D" w14:textId="77777777" w:rsidR="00513DED" w:rsidRDefault="00CB5559">
      <w:pPr>
        <w:pStyle w:val="Heading1"/>
      </w:pPr>
      <w:r>
        <w:t>17.</w:t>
      </w:r>
      <w:r>
        <w:tab/>
        <w:t>Adoption of Report</w:t>
      </w:r>
      <w:bookmarkStart w:id="24" w:name="h.x72fc5im1vmx" w:colFirst="0" w:colLast="0"/>
      <w:bookmarkEnd w:id="24"/>
    </w:p>
    <w:p w14:paraId="6F3894D7" w14:textId="77777777" w:rsidR="00513DED" w:rsidRDefault="00513DED" w:rsidP="00E3226F">
      <w:pPr>
        <w:pStyle w:val="Normal1"/>
      </w:pPr>
      <w:bookmarkStart w:id="25" w:name="h.b481mwrqdsk" w:colFirst="0" w:colLast="0"/>
      <w:bookmarkEnd w:id="25"/>
    </w:p>
    <w:p w14:paraId="68B2DF9C" w14:textId="77777777" w:rsidR="00513DED" w:rsidRDefault="00CB5559">
      <w:pPr>
        <w:pStyle w:val="Heading1"/>
      </w:pPr>
      <w:bookmarkStart w:id="26" w:name="h.3xchoeddm1k7" w:colFirst="0" w:colLast="0"/>
      <w:bookmarkEnd w:id="26"/>
      <w:r>
        <w:lastRenderedPageBreak/>
        <w:t>18.</w:t>
      </w:r>
      <w:r>
        <w:tab/>
        <w:t>Meeting Closure</w:t>
      </w:r>
    </w:p>
    <w:p w14:paraId="313945E7" w14:textId="77777777" w:rsidR="00513DED" w:rsidRDefault="00CB5559">
      <w:pPr>
        <w:pStyle w:val="Normal1"/>
      </w:pPr>
      <w:r>
        <w:t>The meeting was closed at 1200(!) hours on 7 October 2014</w:t>
      </w:r>
    </w:p>
    <w:p w14:paraId="7D3B8DC6" w14:textId="77777777" w:rsidR="00513DED" w:rsidRDefault="00CB5559">
      <w:pPr>
        <w:pStyle w:val="Normal1"/>
      </w:pPr>
      <w:r>
        <w:br w:type="page"/>
      </w:r>
    </w:p>
    <w:p w14:paraId="781054EB" w14:textId="77777777" w:rsidR="00513DED" w:rsidRDefault="00CB5559">
      <w:pPr>
        <w:pStyle w:val="Normal1"/>
        <w:jc w:val="center"/>
      </w:pPr>
      <w:r>
        <w:rPr>
          <w:b/>
        </w:rPr>
        <w:lastRenderedPageBreak/>
        <w:t>2</w:t>
      </w:r>
      <w:r>
        <w:rPr>
          <w:b/>
          <w:vertAlign w:val="superscript"/>
        </w:rPr>
        <w:t>nd</w:t>
      </w:r>
      <w:r>
        <w:rPr>
          <w:b/>
        </w:rPr>
        <w:t xml:space="preserve"> Meeting of the Scientific Committee</w:t>
      </w:r>
    </w:p>
    <w:p w14:paraId="2596AA91" w14:textId="77777777" w:rsidR="00513DED" w:rsidRDefault="00CB5559">
      <w:pPr>
        <w:pStyle w:val="Normal1"/>
        <w:jc w:val="center"/>
      </w:pPr>
      <w:r>
        <w:t>Honolulu, Hawaii, USA</w:t>
      </w:r>
      <w:r>
        <w:br/>
        <w:t>1-7 October 2014</w:t>
      </w:r>
    </w:p>
    <w:p w14:paraId="201A456F" w14:textId="77777777" w:rsidR="00513DED" w:rsidRDefault="00CB5559">
      <w:pPr>
        <w:pStyle w:val="Normal1"/>
        <w:jc w:val="center"/>
      </w:pPr>
      <w:r>
        <w:rPr>
          <w:b/>
          <w:sz w:val="24"/>
        </w:rPr>
        <w:t>SC-02-01</w:t>
      </w:r>
    </w:p>
    <w:p w14:paraId="2AE6751D" w14:textId="77777777" w:rsidR="00513DED" w:rsidRDefault="00CB5559">
      <w:pPr>
        <w:pStyle w:val="Normal1"/>
        <w:jc w:val="center"/>
      </w:pPr>
      <w:r>
        <w:rPr>
          <w:b/>
          <w:sz w:val="24"/>
        </w:rPr>
        <w:t>Agenda</w:t>
      </w:r>
    </w:p>
    <w:p w14:paraId="66279F71" w14:textId="77777777" w:rsidR="00513DED" w:rsidRDefault="00CB5559">
      <w:pPr>
        <w:pStyle w:val="Normal1"/>
        <w:widowControl/>
        <w:numPr>
          <w:ilvl w:val="0"/>
          <w:numId w:val="11"/>
        </w:numPr>
        <w:spacing w:before="60" w:after="0"/>
        <w:ind w:hanging="359"/>
        <w:jc w:val="both"/>
      </w:pPr>
      <w:r>
        <w:t>Welcome and Introduction</w:t>
      </w:r>
    </w:p>
    <w:p w14:paraId="191C9DF3" w14:textId="77777777" w:rsidR="00513DED" w:rsidRDefault="00CB5559">
      <w:pPr>
        <w:pStyle w:val="Normal1"/>
        <w:widowControl/>
        <w:numPr>
          <w:ilvl w:val="0"/>
          <w:numId w:val="11"/>
        </w:numPr>
        <w:spacing w:before="60" w:after="0"/>
        <w:ind w:hanging="359"/>
        <w:jc w:val="both"/>
      </w:pPr>
      <w:r>
        <w:t>Adoption of Agenda</w:t>
      </w:r>
    </w:p>
    <w:p w14:paraId="79E43C54" w14:textId="77777777" w:rsidR="00513DED" w:rsidRDefault="00CB5559">
      <w:pPr>
        <w:pStyle w:val="Normal1"/>
        <w:widowControl/>
        <w:numPr>
          <w:ilvl w:val="0"/>
          <w:numId w:val="11"/>
        </w:numPr>
        <w:spacing w:before="60" w:after="0"/>
        <w:ind w:hanging="359"/>
        <w:jc w:val="both"/>
      </w:pPr>
      <w:r>
        <w:t>Administrative Arrangements</w:t>
      </w:r>
    </w:p>
    <w:p w14:paraId="43EB668A" w14:textId="77777777" w:rsidR="00513DED" w:rsidRDefault="00CB5559">
      <w:pPr>
        <w:pStyle w:val="Normal1"/>
        <w:widowControl/>
        <w:numPr>
          <w:ilvl w:val="1"/>
          <w:numId w:val="11"/>
        </w:numPr>
        <w:spacing w:before="60" w:after="0"/>
        <w:ind w:hanging="431"/>
        <w:jc w:val="both"/>
      </w:pPr>
      <w:r>
        <w:t>Meeting documents</w:t>
      </w:r>
    </w:p>
    <w:p w14:paraId="38C99812" w14:textId="77777777" w:rsidR="00513DED" w:rsidRDefault="00CB5559">
      <w:pPr>
        <w:pStyle w:val="Normal1"/>
        <w:widowControl/>
        <w:numPr>
          <w:ilvl w:val="0"/>
          <w:numId w:val="11"/>
        </w:numPr>
        <w:spacing w:before="60" w:after="0"/>
        <w:ind w:hanging="359"/>
        <w:jc w:val="both"/>
      </w:pPr>
      <w:r>
        <w:t>Nomination of Rapporteurs</w:t>
      </w:r>
    </w:p>
    <w:p w14:paraId="28DBBF82" w14:textId="77777777" w:rsidR="00513DED" w:rsidRDefault="00CB5559">
      <w:pPr>
        <w:pStyle w:val="Normal1"/>
        <w:widowControl/>
        <w:numPr>
          <w:ilvl w:val="0"/>
          <w:numId w:val="11"/>
        </w:numPr>
        <w:spacing w:before="60" w:after="0"/>
        <w:ind w:hanging="359"/>
        <w:jc w:val="both"/>
      </w:pPr>
      <w:r>
        <w:t>Discussion of National Reports</w:t>
      </w:r>
    </w:p>
    <w:p w14:paraId="114EB752" w14:textId="77777777" w:rsidR="00513DED" w:rsidRDefault="00CB5559">
      <w:pPr>
        <w:pStyle w:val="Normal1"/>
        <w:widowControl/>
        <w:numPr>
          <w:ilvl w:val="0"/>
          <w:numId w:val="11"/>
        </w:numPr>
        <w:spacing w:before="60" w:after="0"/>
        <w:ind w:hanging="359"/>
        <w:jc w:val="both"/>
      </w:pPr>
      <w:r>
        <w:t>Jack Mackerel Working Group</w:t>
      </w:r>
    </w:p>
    <w:p w14:paraId="13DB7725" w14:textId="77777777" w:rsidR="00513DED" w:rsidRDefault="00CB5559">
      <w:pPr>
        <w:pStyle w:val="Normal1"/>
        <w:widowControl/>
        <w:numPr>
          <w:ilvl w:val="1"/>
          <w:numId w:val="11"/>
        </w:numPr>
        <w:spacing w:before="60" w:after="0"/>
        <w:ind w:hanging="431"/>
        <w:jc w:val="both"/>
      </w:pPr>
      <w:r>
        <w:t>Report on Inter-Sessional assessment/research by Participants</w:t>
      </w:r>
    </w:p>
    <w:p w14:paraId="65767C50" w14:textId="77777777" w:rsidR="00513DED" w:rsidRDefault="00CB5559">
      <w:pPr>
        <w:pStyle w:val="Normal1"/>
        <w:widowControl/>
        <w:numPr>
          <w:ilvl w:val="2"/>
          <w:numId w:val="11"/>
        </w:numPr>
        <w:spacing w:before="60" w:after="0"/>
        <w:ind w:hanging="503"/>
      </w:pPr>
      <w:r>
        <w:t xml:space="preserve"> Inter-Sessional Stock assessments of Jack Mackerel</w:t>
      </w:r>
    </w:p>
    <w:p w14:paraId="0D8BF9E8" w14:textId="77777777" w:rsidR="00513DED" w:rsidRDefault="00CB5559">
      <w:pPr>
        <w:pStyle w:val="Normal1"/>
        <w:widowControl/>
        <w:numPr>
          <w:ilvl w:val="2"/>
          <w:numId w:val="11"/>
        </w:numPr>
        <w:spacing w:before="60" w:after="0"/>
        <w:ind w:hanging="503"/>
      </w:pPr>
      <w:r>
        <w:t xml:space="preserve"> Inter-Sessional Progress with the Jack Mackerel Stock Structure Research Programme</w:t>
      </w:r>
    </w:p>
    <w:p w14:paraId="4DFF01E3" w14:textId="77777777" w:rsidR="00513DED" w:rsidRDefault="00CB5559">
      <w:pPr>
        <w:pStyle w:val="Normal1"/>
        <w:widowControl/>
        <w:numPr>
          <w:ilvl w:val="2"/>
          <w:numId w:val="11"/>
        </w:numPr>
        <w:spacing w:before="60" w:after="0"/>
        <w:ind w:hanging="503"/>
      </w:pPr>
      <w:r>
        <w:t xml:space="preserve"> Inter-Sessional Progress with Jack Mackerel Age/Growth Task Team</w:t>
      </w:r>
    </w:p>
    <w:p w14:paraId="4AF83BAE" w14:textId="77777777" w:rsidR="00513DED" w:rsidRDefault="00CB5559">
      <w:pPr>
        <w:pStyle w:val="Normal1"/>
        <w:widowControl/>
        <w:numPr>
          <w:ilvl w:val="2"/>
          <w:numId w:val="11"/>
        </w:numPr>
        <w:spacing w:before="60" w:after="0"/>
        <w:ind w:hanging="503"/>
      </w:pPr>
      <w:r>
        <w:t xml:space="preserve"> Acoustic survey standardization </w:t>
      </w:r>
    </w:p>
    <w:p w14:paraId="3016505D" w14:textId="77777777" w:rsidR="00513DED" w:rsidRDefault="00CB5559">
      <w:pPr>
        <w:pStyle w:val="Normal1"/>
        <w:keepNext/>
        <w:widowControl/>
        <w:numPr>
          <w:ilvl w:val="1"/>
          <w:numId w:val="11"/>
        </w:numPr>
        <w:spacing w:before="60" w:after="0"/>
        <w:ind w:hanging="431"/>
      </w:pPr>
      <w:r>
        <w:t xml:space="preserve">Jack Mackerel Stock Assessments – Technical Session </w:t>
      </w:r>
    </w:p>
    <w:p w14:paraId="6315C491" w14:textId="77777777" w:rsidR="00513DED" w:rsidRDefault="00CB5559">
      <w:pPr>
        <w:pStyle w:val="Normal1"/>
        <w:keepNext/>
        <w:widowControl/>
        <w:numPr>
          <w:ilvl w:val="2"/>
          <w:numId w:val="11"/>
        </w:numPr>
        <w:spacing w:before="60" w:after="0"/>
        <w:ind w:left="1225" w:hanging="504"/>
      </w:pPr>
      <w:r>
        <w:t xml:space="preserve"> Updating of data sets for additional stock assessment runs</w:t>
      </w:r>
    </w:p>
    <w:p w14:paraId="5522E523" w14:textId="77777777" w:rsidR="00513DED" w:rsidRDefault="00CB5559">
      <w:pPr>
        <w:pStyle w:val="Normal1"/>
        <w:widowControl/>
        <w:numPr>
          <w:ilvl w:val="2"/>
          <w:numId w:val="11"/>
        </w:numPr>
        <w:spacing w:before="60" w:after="0"/>
        <w:ind w:left="1225" w:hanging="504"/>
      </w:pPr>
      <w:r>
        <w:t xml:space="preserve"> Selection and specification of base-case assessment, and specification of additional stock assessment sensitivity runs to be conducted</w:t>
      </w:r>
    </w:p>
    <w:p w14:paraId="36BD5039" w14:textId="77777777" w:rsidR="00513DED" w:rsidRDefault="00CB5559">
      <w:pPr>
        <w:pStyle w:val="Normal1"/>
        <w:widowControl/>
        <w:numPr>
          <w:ilvl w:val="2"/>
          <w:numId w:val="11"/>
        </w:numPr>
        <w:spacing w:before="60" w:after="0"/>
        <w:ind w:left="1225" w:hanging="504"/>
      </w:pPr>
      <w:r>
        <w:t xml:space="preserve"> Conducting of additional stock assessment runs</w:t>
      </w:r>
    </w:p>
    <w:p w14:paraId="17BB72C0" w14:textId="77777777" w:rsidR="00513DED" w:rsidRDefault="00CB5559">
      <w:pPr>
        <w:pStyle w:val="Normal1"/>
        <w:widowControl/>
        <w:numPr>
          <w:ilvl w:val="2"/>
          <w:numId w:val="11"/>
        </w:numPr>
        <w:spacing w:before="60" w:after="0"/>
        <w:ind w:hanging="503"/>
      </w:pPr>
      <w:r>
        <w:t xml:space="preserve"> Synthesis and summary of key results from all stock assessment runs conducted</w:t>
      </w:r>
    </w:p>
    <w:p w14:paraId="0D2DF3A3" w14:textId="77777777" w:rsidR="00513DED" w:rsidRDefault="00CB5559">
      <w:pPr>
        <w:pStyle w:val="Normal1"/>
        <w:widowControl/>
        <w:numPr>
          <w:ilvl w:val="1"/>
          <w:numId w:val="11"/>
        </w:numPr>
        <w:spacing w:after="0"/>
        <w:ind w:hanging="431"/>
      </w:pPr>
      <w:r>
        <w:t>Advice to the Commission on Jack Mackerel stock status</w:t>
      </w:r>
    </w:p>
    <w:p w14:paraId="36E87D6C" w14:textId="77777777" w:rsidR="00513DED" w:rsidRDefault="00CB5559">
      <w:pPr>
        <w:pStyle w:val="Normal1"/>
        <w:keepNext/>
        <w:widowControl/>
        <w:numPr>
          <w:ilvl w:val="1"/>
          <w:numId w:val="11"/>
        </w:numPr>
        <w:spacing w:after="0"/>
        <w:ind w:hanging="431"/>
      </w:pPr>
      <w:r>
        <w:t>Review and evaluate the rebuilding plan adopted by the 2</w:t>
      </w:r>
      <w:r>
        <w:rPr>
          <w:vertAlign w:val="superscript"/>
        </w:rPr>
        <w:t>nd</w:t>
      </w:r>
      <w:r>
        <w:t xml:space="preserve"> Commission Meeting</w:t>
      </w:r>
      <w:r>
        <w:rPr>
          <w:i/>
          <w:color w:val="0000CC"/>
        </w:rPr>
        <w:t xml:space="preserve"> </w:t>
      </w:r>
    </w:p>
    <w:p w14:paraId="10205D79" w14:textId="77777777" w:rsidR="00513DED" w:rsidRDefault="00CB5559">
      <w:pPr>
        <w:pStyle w:val="Normal1"/>
        <w:widowControl/>
        <w:numPr>
          <w:ilvl w:val="1"/>
          <w:numId w:val="11"/>
        </w:numPr>
        <w:spacing w:after="0"/>
        <w:ind w:hanging="431"/>
        <w:contextualSpacing/>
      </w:pPr>
      <w:r>
        <w:t>Future jack mackerel Research program and identification of short term research and assessment requirements</w:t>
      </w:r>
    </w:p>
    <w:p w14:paraId="44AE9824" w14:textId="77777777" w:rsidR="00513DED" w:rsidRDefault="00CB5559">
      <w:pPr>
        <w:pStyle w:val="Normal1"/>
        <w:widowControl/>
        <w:numPr>
          <w:ilvl w:val="0"/>
          <w:numId w:val="11"/>
        </w:numPr>
        <w:spacing w:after="0"/>
        <w:ind w:left="357" w:hanging="356"/>
      </w:pPr>
      <w:r>
        <w:t>Deepwater Working Group</w:t>
      </w:r>
    </w:p>
    <w:p w14:paraId="790F64DB" w14:textId="77777777" w:rsidR="00513DED" w:rsidRDefault="00CB5559">
      <w:pPr>
        <w:pStyle w:val="Normal1"/>
        <w:widowControl/>
        <w:numPr>
          <w:ilvl w:val="1"/>
          <w:numId w:val="11"/>
        </w:numPr>
        <w:spacing w:after="0"/>
        <w:ind w:hanging="431"/>
        <w:contextualSpacing/>
      </w:pPr>
      <w:r>
        <w:t xml:space="preserve">Inter-Sessional assessments of deepwater species </w:t>
      </w:r>
    </w:p>
    <w:p w14:paraId="5E9D2635" w14:textId="77777777" w:rsidR="00513DED" w:rsidRDefault="00CB5559">
      <w:pPr>
        <w:pStyle w:val="Normal1"/>
        <w:widowControl/>
        <w:numPr>
          <w:ilvl w:val="1"/>
          <w:numId w:val="11"/>
        </w:numPr>
        <w:spacing w:after="0"/>
        <w:ind w:hanging="431"/>
        <w:contextualSpacing/>
      </w:pPr>
      <w:r>
        <w:t>Applications to fish outside the footprint or above reference period catch levels</w:t>
      </w:r>
    </w:p>
    <w:p w14:paraId="4DCFBACF" w14:textId="77777777" w:rsidR="00513DED" w:rsidRDefault="00CB5559">
      <w:pPr>
        <w:pStyle w:val="Normal1"/>
        <w:widowControl/>
        <w:numPr>
          <w:ilvl w:val="1"/>
          <w:numId w:val="11"/>
        </w:numPr>
        <w:spacing w:after="0"/>
        <w:ind w:hanging="431"/>
        <w:contextualSpacing/>
      </w:pPr>
      <w:r>
        <w:t>Planning SC activities to inform the review of CMM 2.03 (bottom fishing)</w:t>
      </w:r>
    </w:p>
    <w:p w14:paraId="353E8532" w14:textId="77777777" w:rsidR="00513DED" w:rsidRDefault="00CB5559">
      <w:pPr>
        <w:pStyle w:val="Normal1"/>
        <w:widowControl/>
        <w:numPr>
          <w:ilvl w:val="1"/>
          <w:numId w:val="11"/>
        </w:numPr>
        <w:spacing w:after="0"/>
        <w:ind w:hanging="431"/>
        <w:contextualSpacing/>
      </w:pPr>
      <w:r>
        <w:t>ABNJ Deepsea program</w:t>
      </w:r>
    </w:p>
    <w:p w14:paraId="3A889B84" w14:textId="77777777" w:rsidR="00513DED" w:rsidRDefault="00CB5559">
      <w:pPr>
        <w:pStyle w:val="Normal1"/>
        <w:widowControl/>
        <w:numPr>
          <w:ilvl w:val="1"/>
          <w:numId w:val="11"/>
        </w:numPr>
        <w:spacing w:after="0"/>
        <w:ind w:hanging="431"/>
        <w:contextualSpacing/>
      </w:pPr>
      <w:r>
        <w:t xml:space="preserve">Future Deepwater Research program and identification of short term research and assessment requirements </w:t>
      </w:r>
    </w:p>
    <w:p w14:paraId="25C2F451" w14:textId="77777777" w:rsidR="00513DED" w:rsidRDefault="00CB5559">
      <w:pPr>
        <w:pStyle w:val="Normal1"/>
        <w:widowControl/>
        <w:numPr>
          <w:ilvl w:val="0"/>
          <w:numId w:val="11"/>
        </w:numPr>
        <w:spacing w:before="120" w:after="0"/>
        <w:ind w:hanging="359"/>
        <w:contextualSpacing/>
      </w:pPr>
      <w:r>
        <w:t>Ecosystem Approach to Fisheries management</w:t>
      </w:r>
    </w:p>
    <w:p w14:paraId="43238757" w14:textId="77777777" w:rsidR="00513DED" w:rsidRDefault="00CB5559">
      <w:pPr>
        <w:pStyle w:val="Normal1"/>
        <w:widowControl/>
        <w:numPr>
          <w:ilvl w:val="1"/>
          <w:numId w:val="11"/>
        </w:numPr>
        <w:spacing w:after="0"/>
        <w:ind w:hanging="431"/>
        <w:contextualSpacing/>
      </w:pPr>
      <w:r>
        <w:t xml:space="preserve">Evaluate the impact of fishing activities (including, </w:t>
      </w:r>
      <w:r>
        <w:rPr>
          <w:i/>
        </w:rPr>
        <w:t>inter alia</w:t>
      </w:r>
      <w:r>
        <w:t>, gear type) on Ecologically or Biologically Significant Marine Areas (EBSAs) and on Vulnerable Marine Ecosystems (VMEs)</w:t>
      </w:r>
    </w:p>
    <w:p w14:paraId="450BEC1F" w14:textId="77777777" w:rsidR="00513DED" w:rsidRDefault="00CB5559">
      <w:pPr>
        <w:pStyle w:val="Normal1"/>
        <w:widowControl/>
        <w:numPr>
          <w:ilvl w:val="1"/>
          <w:numId w:val="11"/>
        </w:numPr>
        <w:spacing w:after="0"/>
        <w:ind w:hanging="431"/>
        <w:contextualSpacing/>
      </w:pPr>
      <w:r>
        <w:t>VME database project</w:t>
      </w:r>
    </w:p>
    <w:p w14:paraId="756E4118" w14:textId="77777777" w:rsidR="00513DED" w:rsidRDefault="00CB5559">
      <w:pPr>
        <w:pStyle w:val="Normal1"/>
        <w:widowControl/>
        <w:numPr>
          <w:ilvl w:val="0"/>
          <w:numId w:val="11"/>
        </w:numPr>
        <w:spacing w:after="0"/>
        <w:contextualSpacing/>
      </w:pPr>
      <w:r>
        <w:t>Review international best practices in bycatch, incidental catches and mitigation options in pelagic and bottom fisheries, and make appropriate recommendations</w:t>
      </w:r>
    </w:p>
    <w:p w14:paraId="21C41BC6" w14:textId="77777777" w:rsidR="00513DED" w:rsidRDefault="00CB5559">
      <w:pPr>
        <w:pStyle w:val="Normal1"/>
        <w:widowControl/>
        <w:numPr>
          <w:ilvl w:val="0"/>
          <w:numId w:val="11"/>
        </w:numPr>
        <w:spacing w:after="0"/>
        <w:contextualSpacing/>
      </w:pPr>
      <w:r>
        <w:t>Review CMM 2.02 (data standards) to ensure a full understanding of nature and  extent of bycatch interactions across all fisheries</w:t>
      </w:r>
    </w:p>
    <w:p w14:paraId="7B6A3DB0" w14:textId="77777777" w:rsidR="00513DED" w:rsidRDefault="00CB5559">
      <w:pPr>
        <w:pStyle w:val="Normal1"/>
        <w:widowControl/>
        <w:numPr>
          <w:ilvl w:val="1"/>
          <w:numId w:val="11"/>
        </w:numPr>
        <w:spacing w:after="0"/>
        <w:ind w:hanging="431"/>
        <w:contextualSpacing/>
      </w:pPr>
      <w:r>
        <w:t>Risk to seabird species in the Convention Area and possible mitigation measures to minimise impacts</w:t>
      </w:r>
    </w:p>
    <w:p w14:paraId="35CD8312" w14:textId="77777777" w:rsidR="00513DED" w:rsidRDefault="00CB5559">
      <w:pPr>
        <w:pStyle w:val="Normal1"/>
        <w:widowControl/>
        <w:numPr>
          <w:ilvl w:val="0"/>
          <w:numId w:val="11"/>
        </w:numPr>
        <w:spacing w:after="0"/>
        <w:contextualSpacing/>
      </w:pPr>
      <w:r>
        <w:lastRenderedPageBreak/>
        <w:t>Recommended level and type of observer coverage for demersal longline and trawl fisheries to provide reliable estimates of seabird mortality</w:t>
      </w:r>
    </w:p>
    <w:p w14:paraId="282A2661" w14:textId="77777777" w:rsidR="00513DED" w:rsidRDefault="00CB5559">
      <w:pPr>
        <w:pStyle w:val="Normal1"/>
        <w:widowControl/>
        <w:numPr>
          <w:ilvl w:val="0"/>
          <w:numId w:val="11"/>
        </w:numPr>
        <w:spacing w:after="0"/>
        <w:contextualSpacing/>
      </w:pPr>
      <w:r>
        <w:t>Sampling scheme design for offloading fish in ports</w:t>
      </w:r>
    </w:p>
    <w:p w14:paraId="740F0CBC" w14:textId="77777777" w:rsidR="00513DED" w:rsidRDefault="00CB5559">
      <w:pPr>
        <w:pStyle w:val="Normal1"/>
        <w:widowControl/>
        <w:numPr>
          <w:ilvl w:val="0"/>
          <w:numId w:val="11"/>
        </w:numPr>
        <w:spacing w:after="0"/>
        <w:ind w:hanging="359"/>
        <w:contextualSpacing/>
      </w:pPr>
      <w:r>
        <w:t>Advice to the commission</w:t>
      </w:r>
    </w:p>
    <w:p w14:paraId="00687CAA" w14:textId="77777777" w:rsidR="00513DED" w:rsidRDefault="00CB5559">
      <w:pPr>
        <w:pStyle w:val="Normal1"/>
        <w:widowControl/>
        <w:numPr>
          <w:ilvl w:val="1"/>
          <w:numId w:val="11"/>
        </w:numPr>
        <w:spacing w:after="0"/>
        <w:ind w:hanging="431"/>
        <w:contextualSpacing/>
      </w:pPr>
      <w:r>
        <w:t>Jack Mackerel</w:t>
      </w:r>
    </w:p>
    <w:p w14:paraId="43833CAE" w14:textId="77777777" w:rsidR="00513DED" w:rsidRDefault="00CB5559">
      <w:pPr>
        <w:pStyle w:val="Normal1"/>
        <w:widowControl/>
        <w:numPr>
          <w:ilvl w:val="1"/>
          <w:numId w:val="11"/>
        </w:numPr>
        <w:spacing w:after="0"/>
        <w:ind w:hanging="431"/>
        <w:contextualSpacing/>
      </w:pPr>
      <w:r>
        <w:t>Deep water</w:t>
      </w:r>
    </w:p>
    <w:p w14:paraId="1CBBBE86" w14:textId="77777777" w:rsidR="00513DED" w:rsidRDefault="00CB5559">
      <w:pPr>
        <w:pStyle w:val="Normal1"/>
        <w:widowControl/>
        <w:numPr>
          <w:ilvl w:val="1"/>
          <w:numId w:val="11"/>
        </w:numPr>
        <w:spacing w:after="0"/>
        <w:ind w:hanging="431"/>
        <w:contextualSpacing/>
      </w:pPr>
      <w:r>
        <w:t>Other</w:t>
      </w:r>
    </w:p>
    <w:p w14:paraId="6988DE56" w14:textId="77777777" w:rsidR="00513DED" w:rsidRDefault="00CB5559">
      <w:pPr>
        <w:pStyle w:val="Normal1"/>
        <w:widowControl/>
        <w:numPr>
          <w:ilvl w:val="0"/>
          <w:numId w:val="11"/>
        </w:numPr>
        <w:spacing w:after="0"/>
        <w:ind w:hanging="359"/>
        <w:contextualSpacing/>
      </w:pPr>
      <w:r>
        <w:t xml:space="preserve">SC Research Programme </w:t>
      </w:r>
    </w:p>
    <w:p w14:paraId="42C68A45" w14:textId="77777777" w:rsidR="00513DED" w:rsidRDefault="00CB5559">
      <w:pPr>
        <w:pStyle w:val="Normal1"/>
        <w:widowControl/>
        <w:numPr>
          <w:ilvl w:val="0"/>
          <w:numId w:val="11"/>
        </w:numPr>
        <w:spacing w:after="0"/>
        <w:ind w:hanging="359"/>
      </w:pPr>
      <w:r>
        <w:t>Next Meeting</w:t>
      </w:r>
    </w:p>
    <w:p w14:paraId="55B34AAA" w14:textId="77777777" w:rsidR="00513DED" w:rsidRDefault="00CB5559">
      <w:pPr>
        <w:pStyle w:val="Normal1"/>
        <w:widowControl/>
        <w:numPr>
          <w:ilvl w:val="0"/>
          <w:numId w:val="11"/>
        </w:numPr>
        <w:spacing w:after="0"/>
        <w:ind w:hanging="359"/>
      </w:pPr>
      <w:r>
        <w:t>Other Matters</w:t>
      </w:r>
    </w:p>
    <w:p w14:paraId="5A442E2D" w14:textId="77777777" w:rsidR="00513DED" w:rsidRDefault="00CB5559">
      <w:pPr>
        <w:pStyle w:val="Normal1"/>
        <w:widowControl/>
        <w:numPr>
          <w:ilvl w:val="0"/>
          <w:numId w:val="11"/>
        </w:numPr>
        <w:spacing w:after="0"/>
        <w:ind w:hanging="359"/>
      </w:pPr>
      <w:r>
        <w:t>Adoption of Report</w:t>
      </w:r>
    </w:p>
    <w:p w14:paraId="04AC6D10" w14:textId="77777777" w:rsidR="00513DED" w:rsidRDefault="00CB5559">
      <w:pPr>
        <w:pStyle w:val="Normal1"/>
        <w:widowControl/>
        <w:numPr>
          <w:ilvl w:val="0"/>
          <w:numId w:val="11"/>
        </w:numPr>
        <w:spacing w:after="0"/>
        <w:ind w:hanging="359"/>
      </w:pPr>
      <w:r>
        <w:t>Meeting Closure</w:t>
      </w:r>
    </w:p>
    <w:p w14:paraId="65E0A3D3" w14:textId="77777777" w:rsidR="00513DED" w:rsidRDefault="00513DED">
      <w:pPr>
        <w:pStyle w:val="Normal1"/>
        <w:widowControl/>
        <w:spacing w:after="60"/>
        <w:ind w:left="360"/>
      </w:pPr>
    </w:p>
    <w:p w14:paraId="75F9CB83" w14:textId="77777777" w:rsidR="00513DED" w:rsidRDefault="00513DED">
      <w:pPr>
        <w:pStyle w:val="Normal1"/>
        <w:spacing w:after="200" w:line="276" w:lineRule="auto"/>
      </w:pPr>
    </w:p>
    <w:p w14:paraId="0B015615" w14:textId="77777777" w:rsidR="00513DED" w:rsidRDefault="00513DED">
      <w:pPr>
        <w:pStyle w:val="Normal1"/>
        <w:spacing w:after="200" w:line="276" w:lineRule="auto"/>
      </w:pPr>
    </w:p>
    <w:p w14:paraId="4D500FE9" w14:textId="77777777" w:rsidR="00513DED" w:rsidRDefault="00513DED">
      <w:pPr>
        <w:pStyle w:val="Normal1"/>
        <w:spacing w:after="200" w:line="276" w:lineRule="auto"/>
      </w:pPr>
    </w:p>
    <w:p w14:paraId="137F44E6" w14:textId="77777777" w:rsidR="00513DED" w:rsidRDefault="00513DED">
      <w:pPr>
        <w:pStyle w:val="Normal1"/>
        <w:spacing w:after="200" w:line="276" w:lineRule="auto"/>
      </w:pPr>
    </w:p>
    <w:p w14:paraId="1482EA93" w14:textId="77777777" w:rsidR="00513DED" w:rsidRDefault="00513DED">
      <w:pPr>
        <w:pStyle w:val="Normal1"/>
        <w:spacing w:after="200" w:line="276" w:lineRule="auto"/>
      </w:pPr>
    </w:p>
    <w:p w14:paraId="7D6DB3A9" w14:textId="77777777" w:rsidR="00513DED" w:rsidRDefault="00513DED">
      <w:pPr>
        <w:pStyle w:val="Normal1"/>
        <w:spacing w:after="200" w:line="276" w:lineRule="auto"/>
      </w:pPr>
    </w:p>
    <w:p w14:paraId="74924550" w14:textId="77777777" w:rsidR="00513DED" w:rsidRDefault="00513DED">
      <w:pPr>
        <w:pStyle w:val="Normal1"/>
        <w:spacing w:after="200" w:line="276" w:lineRule="auto"/>
      </w:pPr>
    </w:p>
    <w:p w14:paraId="2A7A160F" w14:textId="77777777" w:rsidR="00513DED" w:rsidRDefault="00513DED">
      <w:pPr>
        <w:pStyle w:val="Normal1"/>
        <w:spacing w:after="200" w:line="276" w:lineRule="auto"/>
      </w:pPr>
    </w:p>
    <w:p w14:paraId="28AD0B00" w14:textId="77777777" w:rsidR="00513DED" w:rsidRDefault="00513DED">
      <w:pPr>
        <w:pStyle w:val="Normal1"/>
        <w:spacing w:after="200" w:line="276" w:lineRule="auto"/>
      </w:pPr>
    </w:p>
    <w:p w14:paraId="118BD8C4" w14:textId="77777777" w:rsidR="00513DED" w:rsidRDefault="00513DED">
      <w:pPr>
        <w:pStyle w:val="Normal1"/>
        <w:spacing w:after="200" w:line="276" w:lineRule="auto"/>
      </w:pPr>
    </w:p>
    <w:p w14:paraId="3D07A1E8" w14:textId="77777777" w:rsidR="00513DED" w:rsidRDefault="00513DED">
      <w:pPr>
        <w:pStyle w:val="Normal1"/>
        <w:spacing w:after="200" w:line="276" w:lineRule="auto"/>
      </w:pPr>
    </w:p>
    <w:p w14:paraId="68DB1ECA" w14:textId="77777777" w:rsidR="00513DED" w:rsidRDefault="00513DED">
      <w:pPr>
        <w:pStyle w:val="Normal1"/>
        <w:spacing w:after="200" w:line="276" w:lineRule="auto"/>
      </w:pPr>
    </w:p>
    <w:p w14:paraId="39391F99" w14:textId="77777777" w:rsidR="00513DED" w:rsidRDefault="00513DED">
      <w:pPr>
        <w:pStyle w:val="Normal1"/>
        <w:spacing w:after="200" w:line="276" w:lineRule="auto"/>
      </w:pPr>
    </w:p>
    <w:p w14:paraId="5F7DFFDB" w14:textId="77777777" w:rsidR="00513DED" w:rsidRDefault="00513DED">
      <w:pPr>
        <w:pStyle w:val="Normal1"/>
        <w:spacing w:after="200" w:line="276" w:lineRule="auto"/>
      </w:pPr>
    </w:p>
    <w:p w14:paraId="7FCD5523" w14:textId="77777777" w:rsidR="00513DED" w:rsidRDefault="00513DED">
      <w:pPr>
        <w:pStyle w:val="Normal1"/>
        <w:spacing w:after="200" w:line="276" w:lineRule="auto"/>
      </w:pPr>
    </w:p>
    <w:p w14:paraId="03482517" w14:textId="77777777" w:rsidR="00513DED" w:rsidRDefault="00513DED">
      <w:pPr>
        <w:pStyle w:val="Normal1"/>
        <w:spacing w:after="200" w:line="276" w:lineRule="auto"/>
      </w:pPr>
    </w:p>
    <w:p w14:paraId="2799D828" w14:textId="77777777" w:rsidR="00925F09" w:rsidRDefault="00925F09">
      <w:pPr>
        <w:pStyle w:val="Normal1"/>
        <w:spacing w:after="200" w:line="276" w:lineRule="auto"/>
      </w:pPr>
    </w:p>
    <w:p w14:paraId="5406505F" w14:textId="77777777" w:rsidR="00925F09" w:rsidRDefault="00925F09">
      <w:pPr>
        <w:pStyle w:val="Normal1"/>
        <w:spacing w:after="200" w:line="276" w:lineRule="auto"/>
      </w:pPr>
    </w:p>
    <w:p w14:paraId="11461E30" w14:textId="77777777" w:rsidR="00925F09" w:rsidRDefault="00925F09">
      <w:pPr>
        <w:pStyle w:val="Normal1"/>
        <w:spacing w:after="200" w:line="276" w:lineRule="auto"/>
      </w:pPr>
    </w:p>
    <w:p w14:paraId="4A00CA77" w14:textId="77777777" w:rsidR="00925F09" w:rsidRDefault="00925F09">
      <w:pPr>
        <w:pStyle w:val="Normal1"/>
        <w:spacing w:after="200" w:line="276" w:lineRule="auto"/>
      </w:pPr>
    </w:p>
    <w:p w14:paraId="01C3A320" w14:textId="77777777" w:rsidR="00513DED" w:rsidRDefault="00513DED">
      <w:pPr>
        <w:pStyle w:val="Normal1"/>
        <w:jc w:val="center"/>
      </w:pPr>
    </w:p>
    <w:p w14:paraId="4955A5D8" w14:textId="77777777" w:rsidR="00513DED" w:rsidRDefault="00CB5559">
      <w:pPr>
        <w:pStyle w:val="Normal1"/>
        <w:jc w:val="center"/>
      </w:pPr>
      <w:r>
        <w:rPr>
          <w:b/>
        </w:rPr>
        <w:lastRenderedPageBreak/>
        <w:t>2</w:t>
      </w:r>
      <w:r>
        <w:rPr>
          <w:b/>
          <w:vertAlign w:val="superscript"/>
        </w:rPr>
        <w:t>nd</w:t>
      </w:r>
      <w:r>
        <w:rPr>
          <w:b/>
        </w:rPr>
        <w:t xml:space="preserve"> Meeting of the Scientific Committee</w:t>
      </w:r>
    </w:p>
    <w:p w14:paraId="75C8282D" w14:textId="77777777" w:rsidR="00513DED" w:rsidRDefault="00CB5559">
      <w:pPr>
        <w:pStyle w:val="Normal1"/>
        <w:jc w:val="center"/>
      </w:pPr>
      <w:r>
        <w:t>Honolulu, Hawaii, USA</w:t>
      </w:r>
      <w:r>
        <w:br/>
        <w:t>1-7 October 2014</w:t>
      </w:r>
    </w:p>
    <w:p w14:paraId="1ABA414F" w14:textId="77777777" w:rsidR="00513DED" w:rsidRDefault="00513DED">
      <w:pPr>
        <w:pStyle w:val="Normal1"/>
        <w:jc w:val="center"/>
      </w:pPr>
    </w:p>
    <w:p w14:paraId="76682A05" w14:textId="77777777" w:rsidR="00513DED" w:rsidRDefault="00CB5559">
      <w:pPr>
        <w:pStyle w:val="Normal1"/>
        <w:jc w:val="center"/>
      </w:pPr>
      <w:r>
        <w:rPr>
          <w:b/>
          <w:sz w:val="24"/>
        </w:rPr>
        <w:t>List of Participants</w:t>
      </w:r>
    </w:p>
    <w:p w14:paraId="1520F61C" w14:textId="77777777" w:rsidR="00513DED" w:rsidRDefault="00513DED">
      <w:pPr>
        <w:pStyle w:val="Normal1"/>
        <w:spacing w:after="0"/>
      </w:pPr>
    </w:p>
    <w:p w14:paraId="2C8E400D" w14:textId="77777777" w:rsidR="00513DED" w:rsidRDefault="00CB5559">
      <w:pPr>
        <w:pStyle w:val="Normal1"/>
        <w:spacing w:after="0"/>
      </w:pPr>
      <w:r>
        <w:rPr>
          <w:rFonts w:ascii="Cambria" w:eastAsia="Cambria" w:hAnsi="Cambria" w:cs="Cambria"/>
          <w:b/>
        </w:rPr>
        <w:t>CHAIR</w:t>
      </w:r>
    </w:p>
    <w:p w14:paraId="683C0F2F" w14:textId="77777777" w:rsidR="00513DED" w:rsidRDefault="00513DED">
      <w:pPr>
        <w:pStyle w:val="Normal1"/>
        <w:spacing w:after="0"/>
      </w:pPr>
    </w:p>
    <w:p w14:paraId="631F5D75"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James IANELLI</w:t>
      </w:r>
      <w:r>
        <w:rPr>
          <w:rFonts w:ascii="Cambria" w:eastAsia="Cambria" w:hAnsi="Cambria" w:cs="Cambria"/>
        </w:rPr>
        <w:tab/>
      </w:r>
    </w:p>
    <w:p w14:paraId="4551341C"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NOAA Fisheries, Alaska Fisheries Science Center</w:t>
      </w:r>
    </w:p>
    <w:p w14:paraId="5748F182" w14:textId="77777777" w:rsidR="00513DED" w:rsidRDefault="00CB5559">
      <w:pPr>
        <w:pStyle w:val="Normal1"/>
        <w:spacing w:after="0"/>
      </w:pPr>
      <w:r>
        <w:rPr>
          <w:rFonts w:ascii="Cambria" w:eastAsia="Cambria" w:hAnsi="Cambria" w:cs="Cambria"/>
        </w:rPr>
        <w:t>Address:</w:t>
      </w:r>
      <w:r>
        <w:rPr>
          <w:rFonts w:ascii="Cambria" w:eastAsia="Cambria" w:hAnsi="Cambria" w:cs="Cambria"/>
        </w:rPr>
        <w:tab/>
        <w:t>7600 Sand Point Way, NE, Seattle, WA 98115</w:t>
      </w:r>
    </w:p>
    <w:p w14:paraId="2465F22D"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10">
        <w:r>
          <w:rPr>
            <w:rFonts w:ascii="Cambria" w:eastAsia="Cambria" w:hAnsi="Cambria" w:cs="Cambria"/>
          </w:rPr>
          <w:t>jim.ianelli@noaa.gov</w:t>
        </w:r>
      </w:hyperlink>
    </w:p>
    <w:p w14:paraId="76087C0A" w14:textId="77777777" w:rsidR="00513DED" w:rsidRDefault="000F2C02">
      <w:pPr>
        <w:pStyle w:val="Normal1"/>
        <w:spacing w:after="0"/>
      </w:pPr>
      <w:hyperlink r:id="rId11"/>
    </w:p>
    <w:p w14:paraId="3E8B87B7" w14:textId="77777777" w:rsidR="00513DED" w:rsidRDefault="000F2C02">
      <w:pPr>
        <w:pStyle w:val="Normal1"/>
        <w:spacing w:after="0"/>
      </w:pPr>
      <w:hyperlink r:id="rId12"/>
    </w:p>
    <w:p w14:paraId="09E24988" w14:textId="77777777" w:rsidR="00513DED" w:rsidRDefault="000F2C02">
      <w:pPr>
        <w:pStyle w:val="Normal1"/>
        <w:spacing w:after="0"/>
      </w:pPr>
      <w:hyperlink r:id="rId13"/>
    </w:p>
    <w:p w14:paraId="492B95E9" w14:textId="77777777" w:rsidR="00513DED" w:rsidRDefault="00CB5559">
      <w:pPr>
        <w:pStyle w:val="Normal1"/>
        <w:spacing w:after="0"/>
      </w:pPr>
      <w:r>
        <w:rPr>
          <w:rFonts w:ascii="Cambria" w:eastAsia="Cambria" w:hAnsi="Cambria" w:cs="Cambria"/>
          <w:b/>
          <w:u w:val="single"/>
        </w:rPr>
        <w:t xml:space="preserve">MEMBERS </w:t>
      </w:r>
    </w:p>
    <w:p w14:paraId="2822EBA1" w14:textId="77777777" w:rsidR="00513DED" w:rsidRDefault="00513DED">
      <w:pPr>
        <w:pStyle w:val="Normal1"/>
        <w:spacing w:after="0"/>
      </w:pPr>
    </w:p>
    <w:p w14:paraId="5EB64D1D" w14:textId="77777777" w:rsidR="00513DED" w:rsidRDefault="00CB5559">
      <w:pPr>
        <w:pStyle w:val="Normal1"/>
        <w:spacing w:after="0"/>
      </w:pPr>
      <w:r>
        <w:rPr>
          <w:rFonts w:ascii="Cambria" w:eastAsia="Cambria" w:hAnsi="Cambria" w:cs="Cambria"/>
          <w:b/>
        </w:rPr>
        <w:t>AUSTRALIA</w:t>
      </w:r>
    </w:p>
    <w:p w14:paraId="12B93245" w14:textId="77777777" w:rsidR="00513DED" w:rsidRDefault="00513DED">
      <w:pPr>
        <w:pStyle w:val="Normal1"/>
        <w:spacing w:after="0"/>
      </w:pPr>
    </w:p>
    <w:p w14:paraId="65CA47A6"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Matthew FLOOD</w:t>
      </w:r>
    </w:p>
    <w:p w14:paraId="1C2B8931" w14:textId="77777777" w:rsidR="00513DED" w:rsidRDefault="00CB5559">
      <w:pPr>
        <w:pStyle w:val="Normal1"/>
        <w:spacing w:after="0"/>
        <w:ind w:left="1440" w:hanging="1439"/>
      </w:pPr>
      <w:r>
        <w:rPr>
          <w:rFonts w:ascii="Cambria" w:eastAsia="Cambria" w:hAnsi="Cambria" w:cs="Cambria"/>
        </w:rPr>
        <w:t>Organisation:</w:t>
      </w:r>
      <w:r>
        <w:rPr>
          <w:rFonts w:ascii="Cambria" w:eastAsia="Cambria" w:hAnsi="Cambria" w:cs="Cambria"/>
        </w:rPr>
        <w:tab/>
        <w:t>Department of Agriculture</w:t>
      </w:r>
    </w:p>
    <w:p w14:paraId="4D3AE721" w14:textId="77777777" w:rsidR="00513DED" w:rsidRDefault="00CB5559">
      <w:pPr>
        <w:pStyle w:val="Normal1"/>
        <w:spacing w:after="0"/>
      </w:pPr>
      <w:r>
        <w:rPr>
          <w:rFonts w:ascii="Cambria" w:eastAsia="Cambria" w:hAnsi="Cambria" w:cs="Cambria"/>
        </w:rPr>
        <w:t>Address:</w:t>
      </w:r>
      <w:r>
        <w:rPr>
          <w:rFonts w:ascii="Cambria" w:eastAsia="Cambria" w:hAnsi="Cambria" w:cs="Cambria"/>
        </w:rPr>
        <w:tab/>
        <w:t xml:space="preserve">GPO Box 1563, Canberra ACT 2601, Australia </w:t>
      </w:r>
    </w:p>
    <w:p w14:paraId="67C1BE05"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14">
        <w:r>
          <w:rPr>
            <w:rFonts w:ascii="Cambria" w:eastAsia="Cambria" w:hAnsi="Cambria" w:cs="Cambria"/>
            <w:highlight w:val="white"/>
          </w:rPr>
          <w:t>matthew.flood@agriculture.gov.au</w:t>
        </w:r>
      </w:hyperlink>
      <w:r>
        <w:rPr>
          <w:rFonts w:ascii="Arial" w:eastAsia="Arial" w:hAnsi="Arial" w:cs="Arial"/>
          <w:highlight w:val="white"/>
        </w:rPr>
        <w:t xml:space="preserve"> </w:t>
      </w:r>
      <w:r>
        <w:rPr>
          <w:rFonts w:ascii="Cambria" w:eastAsia="Cambria" w:hAnsi="Cambria" w:cs="Cambria"/>
        </w:rPr>
        <w:t xml:space="preserve"> </w:t>
      </w:r>
    </w:p>
    <w:p w14:paraId="0EA3A847" w14:textId="77777777" w:rsidR="00513DED" w:rsidRDefault="00513DED">
      <w:pPr>
        <w:pStyle w:val="Normal1"/>
        <w:spacing w:after="0"/>
      </w:pPr>
    </w:p>
    <w:p w14:paraId="377B52D5" w14:textId="77777777" w:rsidR="00513DED" w:rsidRDefault="00513DED">
      <w:pPr>
        <w:pStyle w:val="Normal1"/>
        <w:spacing w:after="0"/>
      </w:pPr>
    </w:p>
    <w:p w14:paraId="11258136" w14:textId="77777777" w:rsidR="00513DED" w:rsidRDefault="00CB5559">
      <w:pPr>
        <w:pStyle w:val="Normal1"/>
        <w:spacing w:after="0"/>
      </w:pPr>
      <w:r>
        <w:rPr>
          <w:rFonts w:ascii="Cambria" w:eastAsia="Cambria" w:hAnsi="Cambria" w:cs="Cambria"/>
          <w:b/>
        </w:rPr>
        <w:t>CHILE</w:t>
      </w:r>
    </w:p>
    <w:p w14:paraId="66DAA133" w14:textId="77777777" w:rsidR="00513DED" w:rsidRDefault="00513DED">
      <w:pPr>
        <w:pStyle w:val="Normal1"/>
        <w:spacing w:after="0"/>
      </w:pPr>
    </w:p>
    <w:p w14:paraId="6C66FE49"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Italo CAMPODONICO</w:t>
      </w:r>
    </w:p>
    <w:p w14:paraId="463631C7"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Undersecretariat for Fisheries and Aquaculture</w:t>
      </w:r>
    </w:p>
    <w:p w14:paraId="2820717E" w14:textId="77777777" w:rsidR="00513DED" w:rsidRDefault="00CB5559">
      <w:pPr>
        <w:pStyle w:val="Normal1"/>
        <w:spacing w:after="0"/>
      </w:pPr>
      <w:r>
        <w:rPr>
          <w:rFonts w:ascii="Cambria" w:eastAsia="Cambria" w:hAnsi="Cambria" w:cs="Cambria"/>
        </w:rPr>
        <w:t>Address:</w:t>
      </w:r>
      <w:r>
        <w:rPr>
          <w:rFonts w:ascii="Cambria" w:eastAsia="Cambria" w:hAnsi="Cambria" w:cs="Cambria"/>
        </w:rPr>
        <w:tab/>
        <w:t>Bellavista 168, 14th Floor, Valparaiso, Chile</w:t>
      </w:r>
    </w:p>
    <w:p w14:paraId="7FAEAC36"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15">
        <w:r w:rsidRPr="00925F09">
          <w:rPr>
            <w:rFonts w:ascii="Cambria" w:eastAsia="Cambria" w:hAnsi="Cambria" w:cs="Cambria"/>
            <w:lang w:val="es-ES"/>
          </w:rPr>
          <w:t>icampodo@gmail.com</w:t>
        </w:r>
      </w:hyperlink>
      <w:hyperlink r:id="rId16"/>
    </w:p>
    <w:p w14:paraId="6B1191B8" w14:textId="77777777" w:rsidR="00513DED" w:rsidRPr="00925F09" w:rsidRDefault="000F2C02">
      <w:pPr>
        <w:pStyle w:val="Normal1"/>
        <w:spacing w:after="0"/>
        <w:rPr>
          <w:lang w:val="es-ES"/>
        </w:rPr>
      </w:pPr>
      <w:hyperlink r:id="rId17"/>
    </w:p>
    <w:p w14:paraId="1C1034A9"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Aquiles SEPULVEDA</w:t>
      </w:r>
    </w:p>
    <w:p w14:paraId="34C0F1C4"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Fishery Research Institute</w:t>
      </w:r>
    </w:p>
    <w:p w14:paraId="6907B2C9" w14:textId="77777777" w:rsidR="00513DED" w:rsidRPr="00925F09" w:rsidRDefault="00CB5559">
      <w:pPr>
        <w:pStyle w:val="Normal1"/>
        <w:spacing w:after="0"/>
        <w:rPr>
          <w:lang w:val="es-ES"/>
        </w:rPr>
      </w:pPr>
      <w:r>
        <w:rPr>
          <w:rFonts w:ascii="Cambria" w:eastAsia="Cambria" w:hAnsi="Cambria" w:cs="Cambria"/>
        </w:rPr>
        <w:t>Address:</w:t>
      </w:r>
      <w:r>
        <w:rPr>
          <w:rFonts w:ascii="Cambria" w:eastAsia="Cambria" w:hAnsi="Cambria" w:cs="Cambria"/>
        </w:rPr>
        <w:tab/>
        <w:t xml:space="preserve">Av. </w:t>
      </w:r>
      <w:r w:rsidRPr="00925F09">
        <w:rPr>
          <w:rFonts w:ascii="Cambria" w:eastAsia="Cambria" w:hAnsi="Cambria" w:cs="Cambria"/>
          <w:lang w:val="es-ES"/>
        </w:rPr>
        <w:t>Colón 2780 Talcahuano, Chile</w:t>
      </w:r>
    </w:p>
    <w:p w14:paraId="6762A6E7"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18">
        <w:r w:rsidRPr="00925F09">
          <w:rPr>
            <w:rFonts w:ascii="Cambria" w:eastAsia="Cambria" w:hAnsi="Cambria" w:cs="Cambria"/>
            <w:lang w:val="es-ES"/>
          </w:rPr>
          <w:t>asepulveda@inpesca.cl</w:t>
        </w:r>
      </w:hyperlink>
      <w:hyperlink r:id="rId19"/>
    </w:p>
    <w:p w14:paraId="4EA9DC9C" w14:textId="77777777" w:rsidR="00513DED" w:rsidRPr="00925F09" w:rsidRDefault="00513DED">
      <w:pPr>
        <w:pStyle w:val="Normal1"/>
        <w:spacing w:after="0"/>
        <w:rPr>
          <w:lang w:val="es-ES"/>
        </w:rPr>
      </w:pPr>
    </w:p>
    <w:p w14:paraId="65812DB4"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Aurora GUERRERO</w:t>
      </w:r>
    </w:p>
    <w:p w14:paraId="27C334D9"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Undersecretariat for Fisheries and Aquaculture</w:t>
      </w:r>
    </w:p>
    <w:p w14:paraId="06CF363D" w14:textId="77777777" w:rsidR="00513DED" w:rsidRDefault="00CB5559">
      <w:pPr>
        <w:pStyle w:val="Normal1"/>
        <w:spacing w:after="0"/>
      </w:pPr>
      <w:r>
        <w:rPr>
          <w:rFonts w:ascii="Cambria" w:eastAsia="Cambria" w:hAnsi="Cambria" w:cs="Cambria"/>
        </w:rPr>
        <w:t>Address:</w:t>
      </w:r>
      <w:r>
        <w:rPr>
          <w:rFonts w:ascii="Cambria" w:eastAsia="Cambria" w:hAnsi="Cambria" w:cs="Cambria"/>
        </w:rPr>
        <w:tab/>
        <w:t xml:space="preserve">Bellavista 168, 14th Floor, Valparaiso, Chile </w:t>
      </w:r>
    </w:p>
    <w:p w14:paraId="566067A0"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20">
        <w:r w:rsidRPr="00925F09">
          <w:rPr>
            <w:rFonts w:ascii="Cambria" w:eastAsia="Cambria" w:hAnsi="Cambria" w:cs="Cambria"/>
            <w:lang w:val="es-ES"/>
          </w:rPr>
          <w:t>aguerrero@subpesca.cl</w:t>
        </w:r>
      </w:hyperlink>
      <w:hyperlink r:id="rId21"/>
    </w:p>
    <w:p w14:paraId="4B743812" w14:textId="77777777" w:rsidR="00513DED" w:rsidRPr="00925F09" w:rsidRDefault="00513DED">
      <w:pPr>
        <w:pStyle w:val="Normal1"/>
        <w:spacing w:after="0"/>
        <w:rPr>
          <w:lang w:val="es-ES"/>
        </w:rPr>
      </w:pPr>
    </w:p>
    <w:p w14:paraId="4497E74D"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Cristian CANALES</w:t>
      </w:r>
    </w:p>
    <w:p w14:paraId="129149DF"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Instituto de Fomento Pesquero</w:t>
      </w:r>
    </w:p>
    <w:p w14:paraId="6ACB9BC4"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Blanco Encalada 839, Valparaiso, Chile</w:t>
      </w:r>
    </w:p>
    <w:p w14:paraId="2023B168"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22">
        <w:r w:rsidRPr="00925F09">
          <w:rPr>
            <w:rFonts w:ascii="Cambria" w:eastAsia="Cambria" w:hAnsi="Cambria" w:cs="Cambria"/>
            <w:lang w:val="es-ES"/>
          </w:rPr>
          <w:t>cristian.canales@ifop.cl</w:t>
        </w:r>
      </w:hyperlink>
    </w:p>
    <w:p w14:paraId="1459985C" w14:textId="77777777" w:rsidR="00513DED" w:rsidRPr="00925F09" w:rsidRDefault="000F2C02">
      <w:pPr>
        <w:pStyle w:val="Normal1"/>
        <w:spacing w:after="0"/>
        <w:rPr>
          <w:lang w:val="es-ES"/>
        </w:rPr>
      </w:pPr>
      <w:hyperlink r:id="rId23"/>
    </w:p>
    <w:p w14:paraId="4C36B007" w14:textId="77777777" w:rsidR="00513DED" w:rsidRPr="00925F09" w:rsidRDefault="000F2C02">
      <w:pPr>
        <w:pStyle w:val="Normal1"/>
        <w:spacing w:after="0"/>
        <w:rPr>
          <w:lang w:val="es-ES"/>
        </w:rPr>
      </w:pPr>
      <w:hyperlink r:id="rId24"/>
    </w:p>
    <w:p w14:paraId="690BD5A1"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Maria Angela BARBIERI</w:t>
      </w:r>
    </w:p>
    <w:p w14:paraId="060F8092"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Undersecretariat for Fisheries and Aquaculture</w:t>
      </w:r>
    </w:p>
    <w:p w14:paraId="1BC416EA" w14:textId="77777777" w:rsidR="00513DED" w:rsidRDefault="00CB5559">
      <w:pPr>
        <w:pStyle w:val="Normal1"/>
        <w:spacing w:after="0"/>
      </w:pPr>
      <w:r>
        <w:rPr>
          <w:rFonts w:ascii="Cambria" w:eastAsia="Cambria" w:hAnsi="Cambria" w:cs="Cambria"/>
        </w:rPr>
        <w:t>Address:</w:t>
      </w:r>
      <w:r>
        <w:rPr>
          <w:rFonts w:ascii="Cambria" w:eastAsia="Cambria" w:hAnsi="Cambria" w:cs="Cambria"/>
        </w:rPr>
        <w:tab/>
        <w:t>Bellavista 168, 14th Floor, Valparaiso, Chile</w:t>
      </w:r>
    </w:p>
    <w:p w14:paraId="4CAFD97C"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25">
        <w:r w:rsidRPr="00925F09">
          <w:rPr>
            <w:rFonts w:ascii="Cambria" w:eastAsia="Cambria" w:hAnsi="Cambria" w:cs="Cambria"/>
            <w:lang w:val="es-ES"/>
          </w:rPr>
          <w:t>mbarbieri@subpesca.cl</w:t>
        </w:r>
      </w:hyperlink>
    </w:p>
    <w:p w14:paraId="135EC8AB" w14:textId="77777777" w:rsidR="00513DED" w:rsidRPr="00925F09" w:rsidRDefault="00CB5559">
      <w:pPr>
        <w:pStyle w:val="Normal1"/>
        <w:spacing w:after="0"/>
        <w:rPr>
          <w:lang w:val="es-ES"/>
        </w:rPr>
      </w:pPr>
      <w:r w:rsidRPr="00925F09">
        <w:rPr>
          <w:rFonts w:ascii="Cambria" w:eastAsia="Cambria" w:hAnsi="Cambria" w:cs="Cambria"/>
          <w:lang w:val="es-ES"/>
        </w:rPr>
        <w:lastRenderedPageBreak/>
        <w:t>Name:</w:t>
      </w:r>
      <w:r w:rsidRPr="00925F09">
        <w:rPr>
          <w:rFonts w:ascii="Cambria" w:eastAsia="Cambria" w:hAnsi="Cambria" w:cs="Cambria"/>
          <w:lang w:val="es-ES"/>
        </w:rPr>
        <w:tab/>
      </w:r>
      <w:r w:rsidRPr="00925F09">
        <w:rPr>
          <w:rFonts w:ascii="Cambria" w:eastAsia="Cambria" w:hAnsi="Cambria" w:cs="Cambria"/>
          <w:lang w:val="es-ES"/>
        </w:rPr>
        <w:tab/>
        <w:t>Rodolfo SERRA</w:t>
      </w:r>
    </w:p>
    <w:p w14:paraId="36451646"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Instituto de Fomento Pesquero</w:t>
      </w:r>
    </w:p>
    <w:p w14:paraId="13744038"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Blanco Encalada 839, Valparaiso, Chile</w:t>
      </w:r>
    </w:p>
    <w:p w14:paraId="6DD04E14"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26">
        <w:r w:rsidRPr="00925F09">
          <w:rPr>
            <w:rFonts w:ascii="Cambria" w:eastAsia="Cambria" w:hAnsi="Cambria" w:cs="Cambria"/>
            <w:lang w:val="es-ES"/>
          </w:rPr>
          <w:t>rodolfo.serra@ifop.cl</w:t>
        </w:r>
      </w:hyperlink>
    </w:p>
    <w:p w14:paraId="6B5035C5" w14:textId="77777777" w:rsidR="00513DED" w:rsidRPr="00925F09" w:rsidRDefault="00513DED">
      <w:pPr>
        <w:pStyle w:val="Normal1"/>
        <w:spacing w:after="0"/>
        <w:rPr>
          <w:lang w:val="es-ES"/>
        </w:rPr>
      </w:pPr>
    </w:p>
    <w:p w14:paraId="7F2BC4F8"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Silvia HERNANDEZ</w:t>
      </w:r>
    </w:p>
    <w:p w14:paraId="4D30486B"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Undersecretariat for Fisheries and Aquaculture</w:t>
      </w:r>
    </w:p>
    <w:p w14:paraId="5057011E" w14:textId="77777777" w:rsidR="00513DED" w:rsidRDefault="00CB5559">
      <w:pPr>
        <w:pStyle w:val="Normal1"/>
        <w:spacing w:after="0"/>
      </w:pPr>
      <w:r>
        <w:rPr>
          <w:rFonts w:ascii="Cambria" w:eastAsia="Cambria" w:hAnsi="Cambria" w:cs="Cambria"/>
        </w:rPr>
        <w:t>Address:</w:t>
      </w:r>
      <w:r>
        <w:rPr>
          <w:rFonts w:ascii="Cambria" w:eastAsia="Cambria" w:hAnsi="Cambria" w:cs="Cambria"/>
        </w:rPr>
        <w:tab/>
        <w:t>Bellavista 168, 14th Floor, Valparaiso, Chile</w:t>
      </w:r>
    </w:p>
    <w:p w14:paraId="34D2CA58"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27">
        <w:r>
          <w:rPr>
            <w:rFonts w:ascii="Cambria" w:eastAsia="Cambria" w:hAnsi="Cambria" w:cs="Cambria"/>
          </w:rPr>
          <w:t>shernandez@subpesca.cl</w:t>
        </w:r>
      </w:hyperlink>
    </w:p>
    <w:p w14:paraId="15A961C5" w14:textId="77777777" w:rsidR="00513DED" w:rsidRDefault="00513DED">
      <w:pPr>
        <w:pStyle w:val="Normal1"/>
        <w:spacing w:after="0"/>
      </w:pPr>
    </w:p>
    <w:p w14:paraId="1E188734"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Albert ARTHUR</w:t>
      </w:r>
    </w:p>
    <w:p w14:paraId="2E07980E"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Anapesca A.G.</w:t>
      </w:r>
    </w:p>
    <w:p w14:paraId="74611378" w14:textId="77777777" w:rsidR="00513DED" w:rsidRDefault="00CB5559">
      <w:pPr>
        <w:pStyle w:val="Normal1"/>
        <w:spacing w:after="0"/>
      </w:pPr>
      <w:r>
        <w:rPr>
          <w:rFonts w:ascii="Cambria" w:eastAsia="Cambria" w:hAnsi="Cambria" w:cs="Cambria"/>
        </w:rPr>
        <w:t>Address:</w:t>
      </w:r>
      <w:r>
        <w:rPr>
          <w:rFonts w:ascii="Cambria" w:eastAsia="Cambria" w:hAnsi="Cambria" w:cs="Cambria"/>
        </w:rPr>
        <w:tab/>
        <w:t>127 244th St. SW Bothell WA 98021, USA.</w:t>
      </w:r>
    </w:p>
    <w:p w14:paraId="4B34E040"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28">
        <w:r>
          <w:rPr>
            <w:rFonts w:ascii="Cambria" w:eastAsia="Cambria" w:hAnsi="Cambria" w:cs="Cambria"/>
          </w:rPr>
          <w:t>albarthur@gmail.com</w:t>
        </w:r>
      </w:hyperlink>
      <w:hyperlink r:id="rId29"/>
    </w:p>
    <w:p w14:paraId="468BC241" w14:textId="77777777" w:rsidR="00513DED" w:rsidRDefault="000F2C02">
      <w:pPr>
        <w:pStyle w:val="Normal1"/>
        <w:spacing w:after="0"/>
      </w:pPr>
      <w:hyperlink r:id="rId30"/>
    </w:p>
    <w:p w14:paraId="7AA80AA1"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Andres COUVE</w:t>
      </w:r>
      <w:r>
        <w:rPr>
          <w:rFonts w:ascii="Cambria" w:eastAsia="Cambria" w:hAnsi="Cambria" w:cs="Cambria"/>
        </w:rPr>
        <w:tab/>
      </w:r>
    </w:p>
    <w:p w14:paraId="1BACCC95"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Sonapesca</w:t>
      </w:r>
    </w:p>
    <w:p w14:paraId="4F3140FA" w14:textId="77777777" w:rsidR="00513DED" w:rsidRDefault="00CB5559">
      <w:pPr>
        <w:pStyle w:val="Normal1"/>
        <w:spacing w:after="0"/>
      </w:pPr>
      <w:r>
        <w:rPr>
          <w:rFonts w:ascii="Cambria" w:eastAsia="Cambria" w:hAnsi="Cambria" w:cs="Cambria"/>
        </w:rPr>
        <w:t>Address:</w:t>
      </w:r>
      <w:r>
        <w:rPr>
          <w:rFonts w:ascii="Cambria" w:eastAsia="Cambria" w:hAnsi="Cambria" w:cs="Cambria"/>
        </w:rPr>
        <w:tab/>
        <w:t>L.Thayer Ojeda 166 Of. 902, Providencia, Santiago, Chile</w:t>
      </w:r>
    </w:p>
    <w:p w14:paraId="2F969049"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31">
        <w:r>
          <w:rPr>
            <w:rFonts w:ascii="Cambria" w:eastAsia="Cambria" w:hAnsi="Cambria" w:cs="Cambria"/>
          </w:rPr>
          <w:t>andrescouve@entelchile.net</w:t>
        </w:r>
      </w:hyperlink>
      <w:hyperlink r:id="rId32"/>
    </w:p>
    <w:p w14:paraId="3E2A15B7" w14:textId="77777777" w:rsidR="00513DED" w:rsidRDefault="000F2C02">
      <w:pPr>
        <w:pStyle w:val="Normal1"/>
        <w:spacing w:after="0"/>
      </w:pPr>
      <w:hyperlink r:id="rId33"/>
    </w:p>
    <w:p w14:paraId="6F8FD51C" w14:textId="77777777" w:rsidR="00513DED" w:rsidRDefault="00513DED">
      <w:pPr>
        <w:pStyle w:val="Normal1"/>
        <w:spacing w:after="0"/>
      </w:pPr>
    </w:p>
    <w:p w14:paraId="7BEF85E2" w14:textId="77777777" w:rsidR="00513DED" w:rsidRDefault="00CB5559">
      <w:pPr>
        <w:pStyle w:val="Normal1"/>
        <w:spacing w:after="0"/>
      </w:pPr>
      <w:r>
        <w:rPr>
          <w:rFonts w:ascii="Cambria" w:eastAsia="Cambria" w:hAnsi="Cambria" w:cs="Cambria"/>
          <w:b/>
        </w:rPr>
        <w:t>CHINA</w:t>
      </w:r>
    </w:p>
    <w:p w14:paraId="2EF032E7" w14:textId="77777777" w:rsidR="00513DED" w:rsidRDefault="00513DED">
      <w:pPr>
        <w:pStyle w:val="Normal1"/>
        <w:spacing w:after="0"/>
      </w:pPr>
    </w:p>
    <w:p w14:paraId="4FDD8EE0"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Gang LI</w:t>
      </w:r>
      <w:r>
        <w:rPr>
          <w:rFonts w:ascii="Cambria" w:eastAsia="Cambria" w:hAnsi="Cambria" w:cs="Cambria"/>
        </w:rPr>
        <w:tab/>
      </w:r>
    </w:p>
    <w:p w14:paraId="01BF01BE"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Shanghai Ocean University</w:t>
      </w:r>
    </w:p>
    <w:p w14:paraId="17B28BC0" w14:textId="77777777" w:rsidR="00513DED" w:rsidRDefault="00CB5559">
      <w:pPr>
        <w:pStyle w:val="Normal1"/>
        <w:spacing w:after="0"/>
      </w:pPr>
      <w:r>
        <w:rPr>
          <w:rFonts w:ascii="Cambria" w:eastAsia="Cambria" w:hAnsi="Cambria" w:cs="Cambria"/>
        </w:rPr>
        <w:t>Address:</w:t>
      </w:r>
      <w:r>
        <w:rPr>
          <w:rFonts w:ascii="Cambria" w:eastAsia="Cambria" w:hAnsi="Cambria" w:cs="Cambria"/>
        </w:rPr>
        <w:tab/>
        <w:t>College of  Marine Science, Shanghai Ocean University, No 999</w:t>
      </w:r>
      <w:r>
        <w:rPr>
          <w:rFonts w:ascii="Cambria" w:eastAsia="Cambria" w:hAnsi="Cambria" w:cs="Cambria"/>
        </w:rPr>
        <w:br/>
        <w:t xml:space="preserve">        </w:t>
      </w:r>
      <w:r>
        <w:rPr>
          <w:rFonts w:ascii="Cambria" w:eastAsia="Cambria" w:hAnsi="Cambria" w:cs="Cambria"/>
        </w:rPr>
        <w:tab/>
      </w:r>
      <w:r>
        <w:rPr>
          <w:rFonts w:ascii="Cambria" w:eastAsia="Cambria" w:hAnsi="Cambria" w:cs="Cambria"/>
        </w:rPr>
        <w:tab/>
        <w:t>Huchenghuan Ring Road, Shanghai</w:t>
      </w:r>
    </w:p>
    <w:p w14:paraId="37A8014C"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34">
        <w:r>
          <w:rPr>
            <w:rFonts w:ascii="Cambria" w:eastAsia="Cambria" w:hAnsi="Cambria" w:cs="Cambria"/>
          </w:rPr>
          <w:t>g-li@shou.edu.cn</w:t>
        </w:r>
      </w:hyperlink>
    </w:p>
    <w:p w14:paraId="43468219" w14:textId="77777777" w:rsidR="00513DED" w:rsidRDefault="00513DED">
      <w:pPr>
        <w:pStyle w:val="Normal1"/>
        <w:spacing w:after="0"/>
      </w:pPr>
    </w:p>
    <w:p w14:paraId="02F9C97C" w14:textId="77777777" w:rsidR="00513DED" w:rsidRDefault="00513DED">
      <w:pPr>
        <w:pStyle w:val="Normal1"/>
        <w:spacing w:after="0"/>
      </w:pPr>
    </w:p>
    <w:p w14:paraId="43B349B4" w14:textId="77777777" w:rsidR="00513DED" w:rsidRDefault="00CB5559">
      <w:pPr>
        <w:pStyle w:val="Normal1"/>
        <w:spacing w:after="0"/>
      </w:pPr>
      <w:r>
        <w:rPr>
          <w:rFonts w:ascii="Cambria" w:eastAsia="Cambria" w:hAnsi="Cambria" w:cs="Cambria"/>
          <w:b/>
        </w:rPr>
        <w:t>EUROPEAN UNION</w:t>
      </w:r>
    </w:p>
    <w:p w14:paraId="501F45F3" w14:textId="77777777" w:rsidR="00513DED" w:rsidRDefault="000F2C02">
      <w:pPr>
        <w:pStyle w:val="Normal1"/>
        <w:spacing w:after="0"/>
      </w:pPr>
      <w:hyperlink r:id="rId35"/>
    </w:p>
    <w:p w14:paraId="5ACB57AA"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Niels HINTZEN</w:t>
      </w:r>
    </w:p>
    <w:p w14:paraId="45EEED2C"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IMARES</w:t>
      </w:r>
    </w:p>
    <w:p w14:paraId="7A0D97B5" w14:textId="77777777" w:rsidR="00513DED" w:rsidRDefault="00CB5559">
      <w:pPr>
        <w:pStyle w:val="Normal1"/>
        <w:spacing w:after="0"/>
      </w:pPr>
      <w:r>
        <w:rPr>
          <w:rFonts w:ascii="Cambria" w:eastAsia="Cambria" w:hAnsi="Cambria" w:cs="Cambria"/>
        </w:rPr>
        <w:t>Address:</w:t>
      </w:r>
      <w:r>
        <w:rPr>
          <w:rFonts w:ascii="Cambria" w:eastAsia="Cambria" w:hAnsi="Cambria" w:cs="Cambria"/>
        </w:rPr>
        <w:tab/>
        <w:t>Haringkade 1, 1976CP, IJmuiden, The Netherlands</w:t>
      </w:r>
    </w:p>
    <w:p w14:paraId="7681FC14"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36">
        <w:r w:rsidRPr="00925F09">
          <w:rPr>
            <w:rFonts w:ascii="Cambria" w:eastAsia="Cambria" w:hAnsi="Cambria" w:cs="Cambria"/>
            <w:lang w:val="es-ES"/>
          </w:rPr>
          <w:t>niels.hintzen@wur.nl</w:t>
        </w:r>
      </w:hyperlink>
    </w:p>
    <w:p w14:paraId="73B078E2" w14:textId="77777777" w:rsidR="00513DED" w:rsidRPr="00925F09" w:rsidRDefault="00513DED">
      <w:pPr>
        <w:pStyle w:val="Normal1"/>
        <w:spacing w:after="0"/>
        <w:rPr>
          <w:lang w:val="es-ES"/>
        </w:rPr>
      </w:pPr>
    </w:p>
    <w:p w14:paraId="541A6C6A"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Adrianus CORTEN</w:t>
      </w:r>
    </w:p>
    <w:p w14:paraId="14BDF128"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Ministry of Economic Affairs</w:t>
      </w:r>
    </w:p>
    <w:p w14:paraId="55D94C6B" w14:textId="77777777" w:rsidR="00513DED" w:rsidRDefault="00CB5559">
      <w:pPr>
        <w:pStyle w:val="Normal1"/>
        <w:spacing w:after="0"/>
      </w:pPr>
      <w:r>
        <w:rPr>
          <w:rFonts w:ascii="Cambria" w:eastAsia="Cambria" w:hAnsi="Cambria" w:cs="Cambria"/>
        </w:rPr>
        <w:t>Address:</w:t>
      </w:r>
      <w:r>
        <w:rPr>
          <w:rFonts w:ascii="Cambria" w:eastAsia="Cambria" w:hAnsi="Cambria" w:cs="Cambria"/>
        </w:rPr>
        <w:tab/>
        <w:t>De Waterdief 52</w:t>
      </w:r>
    </w:p>
    <w:p w14:paraId="0C558A41"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37">
        <w:r>
          <w:rPr>
            <w:rFonts w:ascii="Cambria" w:eastAsia="Cambria" w:hAnsi="Cambria" w:cs="Cambria"/>
          </w:rPr>
          <w:t>adcorten@yahoo.co.uk</w:t>
        </w:r>
      </w:hyperlink>
    </w:p>
    <w:p w14:paraId="48A589DF" w14:textId="77777777" w:rsidR="00513DED" w:rsidRDefault="000F2C02">
      <w:pPr>
        <w:pStyle w:val="Normal1"/>
        <w:spacing w:after="0"/>
      </w:pPr>
      <w:hyperlink r:id="rId38"/>
    </w:p>
    <w:p w14:paraId="11A71AF0"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Francois GERLOTTO</w:t>
      </w:r>
    </w:p>
    <w:p w14:paraId="52C12461"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Institut de Recherche Pour le Development</w:t>
      </w:r>
    </w:p>
    <w:p w14:paraId="569D8A1C"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Le Corfou, A1, 19 rue de la Galine, 34170 Castelnau-le-Lez, France</w:t>
      </w:r>
    </w:p>
    <w:p w14:paraId="74C82B16"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39">
        <w:r w:rsidRPr="00925F09">
          <w:rPr>
            <w:rFonts w:ascii="Cambria" w:eastAsia="Cambria" w:hAnsi="Cambria" w:cs="Cambria"/>
            <w:lang w:val="es-ES"/>
          </w:rPr>
          <w:t>francois.gerlotto@ird.fr</w:t>
        </w:r>
      </w:hyperlink>
    </w:p>
    <w:p w14:paraId="3E29DFCE" w14:textId="77777777" w:rsidR="00513DED" w:rsidRPr="00925F09" w:rsidRDefault="000F2C02">
      <w:pPr>
        <w:pStyle w:val="Normal1"/>
        <w:spacing w:after="0"/>
        <w:rPr>
          <w:lang w:val="es-ES"/>
        </w:rPr>
      </w:pPr>
      <w:hyperlink r:id="rId40"/>
    </w:p>
    <w:p w14:paraId="677BC291" w14:textId="77777777" w:rsidR="00513DED" w:rsidRPr="00925F09" w:rsidRDefault="000F2C02">
      <w:pPr>
        <w:pStyle w:val="Normal1"/>
        <w:spacing w:after="0"/>
        <w:rPr>
          <w:lang w:val="es-ES"/>
        </w:rPr>
      </w:pPr>
      <w:hyperlink r:id="rId41"/>
    </w:p>
    <w:p w14:paraId="11E421A0" w14:textId="77777777" w:rsidR="00513DED" w:rsidRPr="00925F09" w:rsidRDefault="00CB5559">
      <w:pPr>
        <w:pStyle w:val="Normal1"/>
        <w:spacing w:after="0"/>
        <w:rPr>
          <w:lang w:val="es-ES"/>
        </w:rPr>
      </w:pPr>
      <w:r w:rsidRPr="00925F09">
        <w:rPr>
          <w:rFonts w:ascii="Cambria" w:eastAsia="Cambria" w:hAnsi="Cambria" w:cs="Cambria"/>
          <w:b/>
          <w:lang w:val="es-ES"/>
        </w:rPr>
        <w:t>KOREA</w:t>
      </w:r>
    </w:p>
    <w:p w14:paraId="77EAAEA5" w14:textId="77777777" w:rsidR="00513DED" w:rsidRPr="00925F09" w:rsidRDefault="00513DED">
      <w:pPr>
        <w:pStyle w:val="Normal1"/>
        <w:spacing w:after="0"/>
        <w:rPr>
          <w:lang w:val="es-ES"/>
        </w:rPr>
      </w:pPr>
    </w:p>
    <w:p w14:paraId="013AE0A3"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Inja YEON</w:t>
      </w:r>
    </w:p>
    <w:p w14:paraId="4AC887E2" w14:textId="77777777" w:rsidR="00513DED" w:rsidRDefault="00CB5559">
      <w:pPr>
        <w:pStyle w:val="Normal1"/>
        <w:spacing w:after="0"/>
      </w:pPr>
      <w:r>
        <w:rPr>
          <w:rFonts w:ascii="Cambria" w:eastAsia="Cambria" w:hAnsi="Cambria" w:cs="Cambria"/>
        </w:rPr>
        <w:t xml:space="preserve">Organisation: </w:t>
      </w:r>
      <w:r>
        <w:rPr>
          <w:rFonts w:ascii="Cambria" w:eastAsia="Cambria" w:hAnsi="Cambria" w:cs="Cambria"/>
        </w:rPr>
        <w:tab/>
        <w:t>National Fisheries Research &amp; Development Institute</w:t>
      </w:r>
    </w:p>
    <w:p w14:paraId="0A11CB90" w14:textId="77777777" w:rsidR="00513DED" w:rsidRDefault="00CB5559">
      <w:pPr>
        <w:pStyle w:val="Normal1"/>
        <w:spacing w:after="0"/>
      </w:pPr>
      <w:r>
        <w:rPr>
          <w:rFonts w:ascii="Cambria" w:eastAsia="Cambria" w:hAnsi="Cambria" w:cs="Cambria"/>
        </w:rPr>
        <w:t>Address:</w:t>
      </w:r>
      <w:r>
        <w:rPr>
          <w:rFonts w:ascii="Cambria" w:eastAsia="Cambria" w:hAnsi="Cambria" w:cs="Cambria"/>
        </w:rPr>
        <w:tab/>
        <w:t>216 Hean-ro Gijang-eup Gijang-gun, Busan, Republic of Korea</w:t>
      </w:r>
    </w:p>
    <w:p w14:paraId="67BB05D0"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t>ijyeon@korea.kr</w:t>
      </w:r>
    </w:p>
    <w:p w14:paraId="0CDAE6BD" w14:textId="77777777" w:rsidR="00513DED" w:rsidRDefault="000F2C02">
      <w:pPr>
        <w:pStyle w:val="Normal1"/>
        <w:spacing w:after="0"/>
      </w:pPr>
      <w:hyperlink r:id="rId42"/>
    </w:p>
    <w:p w14:paraId="44D2A2E6" w14:textId="77777777" w:rsidR="00513DED" w:rsidRDefault="000F2C02">
      <w:pPr>
        <w:pStyle w:val="Normal1"/>
        <w:spacing w:after="0"/>
      </w:pPr>
      <w:hyperlink r:id="rId43"/>
    </w:p>
    <w:p w14:paraId="5FC01AE8" w14:textId="77777777" w:rsidR="00513DED" w:rsidRDefault="00CB5559">
      <w:pPr>
        <w:pStyle w:val="Normal1"/>
        <w:spacing w:after="0"/>
      </w:pPr>
      <w:r>
        <w:rPr>
          <w:rFonts w:ascii="Cambria" w:eastAsia="Cambria" w:hAnsi="Cambria" w:cs="Cambria"/>
          <w:b/>
        </w:rPr>
        <w:t xml:space="preserve">NEW ZEALAND </w:t>
      </w:r>
    </w:p>
    <w:p w14:paraId="67D52FD0" w14:textId="77777777" w:rsidR="00513DED" w:rsidRDefault="00513DED">
      <w:pPr>
        <w:pStyle w:val="Normal1"/>
        <w:spacing w:after="0"/>
      </w:pPr>
    </w:p>
    <w:p w14:paraId="7898303A"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Geoff TINGLEY</w:t>
      </w:r>
    </w:p>
    <w:p w14:paraId="017F0FF8"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Ministry for Primary Industries</w:t>
      </w:r>
    </w:p>
    <w:p w14:paraId="029449FB" w14:textId="77777777" w:rsidR="00513DED" w:rsidRDefault="00CB5559">
      <w:pPr>
        <w:pStyle w:val="Normal1"/>
        <w:spacing w:after="0"/>
      </w:pPr>
      <w:r>
        <w:rPr>
          <w:rFonts w:ascii="Cambria" w:eastAsia="Cambria" w:hAnsi="Cambria" w:cs="Cambria"/>
        </w:rPr>
        <w:t>Address:</w:t>
      </w:r>
      <w:r>
        <w:rPr>
          <w:rFonts w:ascii="Cambria" w:eastAsia="Cambria" w:hAnsi="Cambria" w:cs="Cambria"/>
        </w:rPr>
        <w:tab/>
        <w:t>25 The Terrace, Wellington, 6140, New Zealand</w:t>
      </w:r>
    </w:p>
    <w:p w14:paraId="0DE6CE19"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44">
        <w:r>
          <w:rPr>
            <w:rFonts w:ascii="Cambria" w:eastAsia="Cambria" w:hAnsi="Cambria" w:cs="Cambria"/>
          </w:rPr>
          <w:t>geoff.tingley@mpi.govt.nz</w:t>
        </w:r>
      </w:hyperlink>
    </w:p>
    <w:p w14:paraId="6A7D3EA0" w14:textId="77777777" w:rsidR="00513DED" w:rsidRDefault="000F2C02">
      <w:pPr>
        <w:pStyle w:val="Normal1"/>
        <w:spacing w:after="0"/>
      </w:pPr>
      <w:hyperlink r:id="rId45"/>
    </w:p>
    <w:p w14:paraId="61D871C1"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Igor DEBSKI</w:t>
      </w:r>
    </w:p>
    <w:p w14:paraId="4790D161"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Department of Conservation</w:t>
      </w:r>
    </w:p>
    <w:p w14:paraId="19BD4F08" w14:textId="77777777" w:rsidR="00513DED" w:rsidRDefault="00CB5559">
      <w:pPr>
        <w:pStyle w:val="Normal1"/>
        <w:spacing w:after="0"/>
      </w:pPr>
      <w:r>
        <w:rPr>
          <w:rFonts w:ascii="Cambria" w:eastAsia="Cambria" w:hAnsi="Cambria" w:cs="Cambria"/>
        </w:rPr>
        <w:t>Address:</w:t>
      </w:r>
      <w:r>
        <w:rPr>
          <w:rFonts w:ascii="Cambria" w:eastAsia="Cambria" w:hAnsi="Cambria" w:cs="Cambria"/>
        </w:rPr>
        <w:tab/>
        <w:t>PO Box 10-420, Wellington, New Zealand</w:t>
      </w:r>
    </w:p>
    <w:p w14:paraId="0E8DA2C0"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t>idebski@doc.govt.nz</w:t>
      </w:r>
    </w:p>
    <w:p w14:paraId="6AA9661B" w14:textId="77777777" w:rsidR="00513DED" w:rsidRDefault="00513DED">
      <w:pPr>
        <w:pStyle w:val="Normal1"/>
        <w:spacing w:after="0"/>
      </w:pPr>
    </w:p>
    <w:p w14:paraId="1B640575" w14:textId="77777777" w:rsidR="00925F09" w:rsidRDefault="00925F09">
      <w:pPr>
        <w:pStyle w:val="Normal1"/>
        <w:spacing w:after="0"/>
      </w:pPr>
    </w:p>
    <w:p w14:paraId="7FBF0926" w14:textId="77777777" w:rsidR="00513DED" w:rsidRDefault="00CB5559">
      <w:pPr>
        <w:pStyle w:val="Normal1"/>
        <w:spacing w:after="0"/>
      </w:pPr>
      <w:r>
        <w:rPr>
          <w:rFonts w:ascii="Cambria" w:eastAsia="Cambria" w:hAnsi="Cambria" w:cs="Cambria"/>
          <w:b/>
        </w:rPr>
        <w:t>RUSSIAN FEDERATION</w:t>
      </w:r>
    </w:p>
    <w:p w14:paraId="5ECEF3DC" w14:textId="77777777" w:rsidR="00513DED" w:rsidRDefault="00513DED">
      <w:pPr>
        <w:pStyle w:val="Normal1"/>
        <w:spacing w:after="0"/>
      </w:pPr>
    </w:p>
    <w:p w14:paraId="446E1EE8"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Alexander GLUBOKOV</w:t>
      </w:r>
      <w:r>
        <w:rPr>
          <w:rFonts w:ascii="Cambria" w:eastAsia="Cambria" w:hAnsi="Cambria" w:cs="Cambria"/>
        </w:rPr>
        <w:tab/>
      </w:r>
    </w:p>
    <w:p w14:paraId="4FA477E8"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Russian Federal Research Institute for Fisheries and Oceanography</w:t>
      </w:r>
    </w:p>
    <w:p w14:paraId="7398E003" w14:textId="77777777" w:rsidR="00513DED" w:rsidRDefault="00CB5559">
      <w:pPr>
        <w:pStyle w:val="Normal1"/>
        <w:spacing w:after="0" w:line="276" w:lineRule="auto"/>
      </w:pPr>
      <w:r>
        <w:rPr>
          <w:rFonts w:ascii="Cambria" w:eastAsia="Cambria" w:hAnsi="Cambria" w:cs="Cambria"/>
        </w:rPr>
        <w:t>Address:</w:t>
      </w:r>
      <w:r>
        <w:rPr>
          <w:rFonts w:ascii="Cambria" w:eastAsia="Cambria" w:hAnsi="Cambria" w:cs="Cambria"/>
        </w:rPr>
        <w:tab/>
        <w:t>107140, Moscow, V. Krasnoselskaya 17</w:t>
      </w:r>
    </w:p>
    <w:p w14:paraId="4AD6C009"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46">
        <w:r>
          <w:rPr>
            <w:rFonts w:ascii="Cambria" w:eastAsia="Cambria" w:hAnsi="Cambria" w:cs="Cambria"/>
          </w:rPr>
          <w:t>glubokov@vniro.ru</w:t>
        </w:r>
      </w:hyperlink>
      <w:hyperlink r:id="rId47"/>
    </w:p>
    <w:p w14:paraId="2B91F74E" w14:textId="77777777" w:rsidR="00513DED" w:rsidRDefault="00513DED">
      <w:pPr>
        <w:pStyle w:val="Normal1"/>
        <w:spacing w:after="0"/>
      </w:pPr>
    </w:p>
    <w:p w14:paraId="67322541" w14:textId="77777777" w:rsidR="00925F09" w:rsidRDefault="00925F09">
      <w:pPr>
        <w:pStyle w:val="Normal1"/>
        <w:spacing w:after="0"/>
      </w:pPr>
    </w:p>
    <w:p w14:paraId="19C9439B" w14:textId="77777777" w:rsidR="00513DED" w:rsidRDefault="00CB5559">
      <w:pPr>
        <w:pStyle w:val="Normal1"/>
        <w:spacing w:after="0"/>
      </w:pPr>
      <w:r>
        <w:rPr>
          <w:rFonts w:ascii="Cambria" w:eastAsia="Cambria" w:hAnsi="Cambria" w:cs="Cambria"/>
          <w:b/>
        </w:rPr>
        <w:t>CHINESE TAIPEI</w:t>
      </w:r>
    </w:p>
    <w:p w14:paraId="593343BC" w14:textId="77777777" w:rsidR="00513DED" w:rsidRDefault="00513DED">
      <w:pPr>
        <w:pStyle w:val="Normal1"/>
        <w:spacing w:after="0"/>
      </w:pPr>
    </w:p>
    <w:p w14:paraId="1EBA6681"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Chih-Shin CHEN</w:t>
      </w:r>
    </w:p>
    <w:p w14:paraId="6FFB2938"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National Taiwan Ocean University</w:t>
      </w:r>
    </w:p>
    <w:p w14:paraId="116938B1" w14:textId="77777777" w:rsidR="00513DED" w:rsidRDefault="00CB5559">
      <w:pPr>
        <w:pStyle w:val="Normal1"/>
        <w:spacing w:after="0"/>
      </w:pPr>
      <w:r>
        <w:rPr>
          <w:rFonts w:ascii="Cambria" w:eastAsia="Cambria" w:hAnsi="Cambria" w:cs="Cambria"/>
        </w:rPr>
        <w:t>Address:</w:t>
      </w:r>
      <w:r>
        <w:rPr>
          <w:rFonts w:ascii="Cambria" w:eastAsia="Cambria" w:hAnsi="Cambria" w:cs="Cambria"/>
        </w:rPr>
        <w:tab/>
        <w:t>No.2, Beining rd, Jhongjheng District, Keelung City 202, Taiwan</w:t>
      </w:r>
    </w:p>
    <w:p w14:paraId="0CB08EC8"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48">
        <w:r>
          <w:rPr>
            <w:rFonts w:ascii="Cambria" w:eastAsia="Cambria" w:hAnsi="Cambria" w:cs="Cambria"/>
          </w:rPr>
          <w:t>cschen@mail.ntou.edu</w:t>
        </w:r>
      </w:hyperlink>
    </w:p>
    <w:p w14:paraId="6C625623" w14:textId="77777777" w:rsidR="00513DED" w:rsidRDefault="00513DED">
      <w:pPr>
        <w:pStyle w:val="Normal1"/>
        <w:spacing w:after="0"/>
      </w:pPr>
    </w:p>
    <w:p w14:paraId="138F617F"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Wen-Bin HUANG</w:t>
      </w:r>
    </w:p>
    <w:p w14:paraId="7E9C0473"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National Dong Hwa University</w:t>
      </w:r>
    </w:p>
    <w:p w14:paraId="42639C46" w14:textId="77777777" w:rsidR="00513DED" w:rsidRDefault="00CB5559">
      <w:pPr>
        <w:pStyle w:val="Normal1"/>
        <w:spacing w:after="0"/>
      </w:pPr>
      <w:r>
        <w:rPr>
          <w:rFonts w:ascii="Cambria" w:eastAsia="Cambria" w:hAnsi="Cambria" w:cs="Cambria"/>
        </w:rPr>
        <w:t>Address:</w:t>
      </w:r>
      <w:r>
        <w:rPr>
          <w:rFonts w:ascii="Cambria" w:eastAsia="Cambria" w:hAnsi="Cambria" w:cs="Cambria"/>
        </w:rPr>
        <w:tab/>
        <w:t>No. 1, Sec 2 Da Hsueh Rd, Shou-Feng, Hualien, Taiwan</w:t>
      </w:r>
    </w:p>
    <w:p w14:paraId="026F03DF"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49">
        <w:r>
          <w:rPr>
            <w:rFonts w:ascii="Cambria" w:eastAsia="Cambria" w:hAnsi="Cambria" w:cs="Cambria"/>
          </w:rPr>
          <w:t>bruce@mail.ndhu.edu.tw</w:t>
        </w:r>
      </w:hyperlink>
    </w:p>
    <w:p w14:paraId="77F43EB3" w14:textId="77777777" w:rsidR="00513DED" w:rsidRDefault="00513DED">
      <w:pPr>
        <w:pStyle w:val="Normal1"/>
        <w:spacing w:after="0"/>
      </w:pPr>
    </w:p>
    <w:p w14:paraId="70165E2D" w14:textId="77777777" w:rsidR="00513DED" w:rsidRDefault="00513DED">
      <w:pPr>
        <w:pStyle w:val="Normal1"/>
        <w:spacing w:after="0"/>
      </w:pPr>
    </w:p>
    <w:p w14:paraId="2527CC93" w14:textId="77777777" w:rsidR="00513DED" w:rsidRDefault="00CB5559">
      <w:pPr>
        <w:pStyle w:val="Normal1"/>
        <w:spacing w:after="0"/>
      </w:pPr>
      <w:r>
        <w:rPr>
          <w:rFonts w:ascii="Cambria" w:eastAsia="Cambria" w:hAnsi="Cambria" w:cs="Cambria"/>
          <w:b/>
          <w:u w:val="single"/>
        </w:rPr>
        <w:t>COOPERATING NON-CONTRACTING PARTIES</w:t>
      </w:r>
    </w:p>
    <w:p w14:paraId="02DFF05C" w14:textId="77777777" w:rsidR="00513DED" w:rsidRDefault="00513DED">
      <w:pPr>
        <w:pStyle w:val="Normal1"/>
        <w:spacing w:after="0"/>
      </w:pPr>
    </w:p>
    <w:p w14:paraId="64149B70" w14:textId="77777777" w:rsidR="00513DED" w:rsidRDefault="00CB5559">
      <w:pPr>
        <w:pStyle w:val="Normal1"/>
        <w:spacing w:after="0"/>
      </w:pPr>
      <w:r>
        <w:rPr>
          <w:rFonts w:ascii="Cambria" w:eastAsia="Cambria" w:hAnsi="Cambria" w:cs="Cambria"/>
          <w:b/>
        </w:rPr>
        <w:t>COLOMBIA</w:t>
      </w:r>
    </w:p>
    <w:p w14:paraId="059C035E" w14:textId="77777777" w:rsidR="00513DED" w:rsidRDefault="00513DED">
      <w:pPr>
        <w:pStyle w:val="Normal1"/>
        <w:spacing w:after="0"/>
      </w:pPr>
    </w:p>
    <w:p w14:paraId="4D39D1F0"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Javier PLATA</w:t>
      </w:r>
    </w:p>
    <w:p w14:paraId="3E37C525"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National Authority for Fisheries and Aquaculture</w:t>
      </w:r>
    </w:p>
    <w:p w14:paraId="7C92F7ED"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Calle 40A #13-09, Piso 6, Edificio UGI, Bogota, Colombia</w:t>
      </w:r>
    </w:p>
    <w:p w14:paraId="2D3E36FC"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50">
        <w:r w:rsidRPr="00925F09">
          <w:rPr>
            <w:rFonts w:ascii="Cambria" w:eastAsia="Cambria" w:hAnsi="Cambria" w:cs="Cambria"/>
            <w:lang w:val="es-ES"/>
          </w:rPr>
          <w:t>javier.plata@aunap.gov.co</w:t>
        </w:r>
      </w:hyperlink>
    </w:p>
    <w:p w14:paraId="46D02D00" w14:textId="77777777" w:rsidR="00513DED" w:rsidRPr="00925F09" w:rsidRDefault="00513DED">
      <w:pPr>
        <w:pStyle w:val="Normal1"/>
        <w:spacing w:after="0"/>
        <w:rPr>
          <w:lang w:val="es-ES"/>
        </w:rPr>
      </w:pPr>
    </w:p>
    <w:p w14:paraId="3B5B2F78" w14:textId="77777777" w:rsidR="00513DED" w:rsidRPr="00925F09" w:rsidRDefault="00513DED">
      <w:pPr>
        <w:pStyle w:val="Normal1"/>
        <w:spacing w:after="0"/>
        <w:rPr>
          <w:lang w:val="es-ES"/>
        </w:rPr>
      </w:pPr>
    </w:p>
    <w:p w14:paraId="257818AD" w14:textId="77777777" w:rsidR="00513DED" w:rsidRDefault="00CB5559">
      <w:pPr>
        <w:pStyle w:val="Normal1"/>
        <w:spacing w:after="0"/>
      </w:pPr>
      <w:r>
        <w:rPr>
          <w:rFonts w:ascii="Cambria" w:eastAsia="Cambria" w:hAnsi="Cambria" w:cs="Cambria"/>
          <w:b/>
        </w:rPr>
        <w:t>ECUADOR</w:t>
      </w:r>
    </w:p>
    <w:p w14:paraId="0B5775A0" w14:textId="77777777" w:rsidR="00513DED" w:rsidRDefault="00513DED">
      <w:pPr>
        <w:pStyle w:val="Normal1"/>
        <w:spacing w:after="0"/>
      </w:pPr>
    </w:p>
    <w:p w14:paraId="35482742"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Edwin MONCAYO</w:t>
      </w:r>
    </w:p>
    <w:p w14:paraId="2C16E84B"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National Institute of Fisheries</w:t>
      </w:r>
    </w:p>
    <w:p w14:paraId="05DA4C82"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Letamendi 102 entre Eloy Alfaro y la Ria, Quito, Ecuador</w:t>
      </w:r>
    </w:p>
    <w:p w14:paraId="22B5C0BD"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51">
        <w:r w:rsidRPr="00925F09">
          <w:rPr>
            <w:rFonts w:ascii="Cambria" w:eastAsia="Cambria" w:hAnsi="Cambria" w:cs="Cambria"/>
            <w:lang w:val="es-ES"/>
          </w:rPr>
          <w:t>direccion_inp@institutopesca.gob.ec</w:t>
        </w:r>
      </w:hyperlink>
    </w:p>
    <w:p w14:paraId="31AFDE44" w14:textId="77777777" w:rsidR="00513DED" w:rsidRPr="00925F09" w:rsidRDefault="00513DED">
      <w:pPr>
        <w:pStyle w:val="Normal1"/>
        <w:spacing w:after="0"/>
        <w:rPr>
          <w:lang w:val="es-ES"/>
        </w:rPr>
      </w:pPr>
    </w:p>
    <w:p w14:paraId="42EE94BE" w14:textId="77777777" w:rsidR="00513DED" w:rsidRDefault="00CB5559">
      <w:pPr>
        <w:pStyle w:val="Normal1"/>
        <w:spacing w:after="0"/>
      </w:pPr>
      <w:r>
        <w:rPr>
          <w:rFonts w:ascii="Cambria" w:eastAsia="Cambria" w:hAnsi="Cambria" w:cs="Cambria"/>
        </w:rPr>
        <w:lastRenderedPageBreak/>
        <w:t>Name:</w:t>
      </w:r>
      <w:r>
        <w:rPr>
          <w:rFonts w:ascii="Cambria" w:eastAsia="Cambria" w:hAnsi="Cambria" w:cs="Cambria"/>
        </w:rPr>
        <w:tab/>
      </w:r>
      <w:r>
        <w:rPr>
          <w:rFonts w:ascii="Cambria" w:eastAsia="Cambria" w:hAnsi="Cambria" w:cs="Cambria"/>
        </w:rPr>
        <w:tab/>
        <w:t xml:space="preserve">Viviana JURADO </w:t>
      </w:r>
    </w:p>
    <w:p w14:paraId="55CD2626"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National Institute of Fisheries</w:t>
      </w:r>
    </w:p>
    <w:p w14:paraId="3A3D5393"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Letamendi 102 entre Eloy Alfaro y la Ria, Quito, Ecuador</w:t>
      </w:r>
    </w:p>
    <w:p w14:paraId="5DBC0B16"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52">
        <w:r w:rsidRPr="00925F09">
          <w:rPr>
            <w:rFonts w:ascii="Cambria" w:eastAsia="Cambria" w:hAnsi="Cambria" w:cs="Cambria"/>
            <w:lang w:val="es-ES"/>
          </w:rPr>
          <w:t>vjurado@institutopesca.gob.ec</w:t>
        </w:r>
      </w:hyperlink>
    </w:p>
    <w:p w14:paraId="12023F49" w14:textId="77777777" w:rsidR="00513DED" w:rsidRPr="00925F09" w:rsidRDefault="00513DED">
      <w:pPr>
        <w:pStyle w:val="Normal1"/>
        <w:spacing w:after="0"/>
        <w:rPr>
          <w:lang w:val="es-ES"/>
        </w:rPr>
      </w:pPr>
    </w:p>
    <w:p w14:paraId="7B428365"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Manuel PERALTA</w:t>
      </w:r>
    </w:p>
    <w:p w14:paraId="41B7BC84"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National Institute of Fisheries</w:t>
      </w:r>
    </w:p>
    <w:p w14:paraId="40C7F37D"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Letamendi 102 entre Eloy Alfaro y la Ria, Quito, Ecuador</w:t>
      </w:r>
    </w:p>
    <w:p w14:paraId="51D4CC97"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53">
        <w:r w:rsidRPr="00925F09">
          <w:rPr>
            <w:rFonts w:ascii="Cambria" w:eastAsia="Cambria" w:hAnsi="Cambria" w:cs="Cambria"/>
            <w:lang w:val="es-ES"/>
          </w:rPr>
          <w:t>mperalta@institutopesca.gob.ec</w:t>
        </w:r>
      </w:hyperlink>
    </w:p>
    <w:p w14:paraId="6BB98FF3" w14:textId="77777777" w:rsidR="00513DED" w:rsidRPr="00925F09" w:rsidRDefault="00513DED">
      <w:pPr>
        <w:pStyle w:val="Normal1"/>
        <w:spacing w:after="0"/>
        <w:rPr>
          <w:lang w:val="es-ES"/>
        </w:rPr>
      </w:pPr>
    </w:p>
    <w:p w14:paraId="48D447FA" w14:textId="77777777" w:rsidR="00513DED" w:rsidRPr="00925F09" w:rsidRDefault="00513DED">
      <w:pPr>
        <w:pStyle w:val="Normal1"/>
        <w:spacing w:after="0"/>
        <w:rPr>
          <w:lang w:val="es-ES"/>
        </w:rPr>
      </w:pPr>
    </w:p>
    <w:p w14:paraId="12DA0E7A" w14:textId="77777777" w:rsidR="00513DED" w:rsidRPr="00925F09" w:rsidRDefault="00CB5559">
      <w:pPr>
        <w:pStyle w:val="Normal1"/>
        <w:spacing w:after="0"/>
        <w:rPr>
          <w:lang w:val="es-ES"/>
        </w:rPr>
      </w:pPr>
      <w:r w:rsidRPr="00925F09">
        <w:rPr>
          <w:rFonts w:ascii="Cambria" w:eastAsia="Cambria" w:hAnsi="Cambria" w:cs="Cambria"/>
          <w:b/>
          <w:lang w:val="es-ES"/>
        </w:rPr>
        <w:t>PERU</w:t>
      </w:r>
    </w:p>
    <w:p w14:paraId="526A0AD4" w14:textId="77777777" w:rsidR="00513DED" w:rsidRPr="00925F09" w:rsidRDefault="00513DED">
      <w:pPr>
        <w:pStyle w:val="Normal1"/>
        <w:spacing w:after="0"/>
        <w:rPr>
          <w:lang w:val="es-ES"/>
        </w:rPr>
      </w:pPr>
    </w:p>
    <w:p w14:paraId="492E3CCF"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Jorge CSIRKE</w:t>
      </w:r>
    </w:p>
    <w:p w14:paraId="0DDFAA38"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Instituto del Mar del Peru (IMARPE)</w:t>
      </w:r>
    </w:p>
    <w:p w14:paraId="5891D1BA"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IMARPE, PO Box 22, Callao, Peru</w:t>
      </w:r>
    </w:p>
    <w:p w14:paraId="6D27ACED"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54">
        <w:r w:rsidRPr="00925F09">
          <w:rPr>
            <w:rFonts w:ascii="Cambria" w:eastAsia="Cambria" w:hAnsi="Cambria" w:cs="Cambria"/>
            <w:lang w:val="es-ES"/>
          </w:rPr>
          <w:t>jorge.csirke@gmail.com</w:t>
        </w:r>
      </w:hyperlink>
    </w:p>
    <w:p w14:paraId="2621F091" w14:textId="77777777" w:rsidR="00513DED" w:rsidRPr="00925F09" w:rsidRDefault="00513DED">
      <w:pPr>
        <w:pStyle w:val="Normal1"/>
        <w:spacing w:after="0"/>
        <w:rPr>
          <w:lang w:val="es-ES"/>
        </w:rPr>
      </w:pPr>
    </w:p>
    <w:p w14:paraId="7F16B6E0"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Ricardo OLIVEROS-RAMOS</w:t>
      </w:r>
    </w:p>
    <w:p w14:paraId="2572A52A"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Instituto del Mar del Peru (IMARPE)</w:t>
      </w:r>
    </w:p>
    <w:p w14:paraId="3A37046A" w14:textId="77777777" w:rsidR="00513DED" w:rsidRDefault="00CB5559">
      <w:pPr>
        <w:pStyle w:val="Normal1"/>
        <w:spacing w:after="0"/>
      </w:pPr>
      <w:r>
        <w:rPr>
          <w:rFonts w:ascii="Cambria" w:eastAsia="Cambria" w:hAnsi="Cambria" w:cs="Cambria"/>
        </w:rPr>
        <w:t>Address:</w:t>
      </w:r>
      <w:r>
        <w:rPr>
          <w:rFonts w:ascii="Cambria" w:eastAsia="Cambria" w:hAnsi="Cambria" w:cs="Cambria"/>
        </w:rPr>
        <w:tab/>
        <w:t>IMARPE, PO Box 22, Callao, Peru</w:t>
      </w:r>
    </w:p>
    <w:p w14:paraId="6BB12D46"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55">
        <w:r w:rsidRPr="00925F09">
          <w:rPr>
            <w:rFonts w:ascii="Cambria" w:eastAsia="Cambria" w:hAnsi="Cambria" w:cs="Cambria"/>
            <w:lang w:val="es-ES"/>
          </w:rPr>
          <w:t>ricardo.oliveros@gmail.com</w:t>
        </w:r>
      </w:hyperlink>
      <w:r w:rsidRPr="00925F09">
        <w:rPr>
          <w:rFonts w:ascii="Cambria" w:eastAsia="Cambria" w:hAnsi="Cambria" w:cs="Cambria"/>
          <w:lang w:val="es-ES"/>
        </w:rPr>
        <w:t xml:space="preserve"> </w:t>
      </w:r>
    </w:p>
    <w:p w14:paraId="0722BD4F" w14:textId="77777777" w:rsidR="00513DED" w:rsidRPr="00925F09" w:rsidRDefault="00513DED">
      <w:pPr>
        <w:pStyle w:val="Normal1"/>
        <w:spacing w:after="0"/>
        <w:rPr>
          <w:lang w:val="es-ES"/>
        </w:rPr>
      </w:pPr>
    </w:p>
    <w:p w14:paraId="5AC5424F"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 xml:space="preserve">Dioses TEOBALDO </w:t>
      </w:r>
    </w:p>
    <w:p w14:paraId="5C8DBCE5"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Instituto del Mar del Peru (IMARPE)</w:t>
      </w:r>
    </w:p>
    <w:p w14:paraId="4494821F" w14:textId="77777777" w:rsidR="00513DED" w:rsidRDefault="00CB5559">
      <w:pPr>
        <w:pStyle w:val="Normal1"/>
        <w:spacing w:after="0"/>
      </w:pPr>
      <w:r>
        <w:rPr>
          <w:rFonts w:ascii="Cambria" w:eastAsia="Cambria" w:hAnsi="Cambria" w:cs="Cambria"/>
        </w:rPr>
        <w:t>Address:</w:t>
      </w:r>
      <w:r>
        <w:rPr>
          <w:rFonts w:ascii="Cambria" w:eastAsia="Cambria" w:hAnsi="Cambria" w:cs="Cambria"/>
        </w:rPr>
        <w:tab/>
        <w:t>IMARPE, PO Box 22, Callao, Peru</w:t>
      </w:r>
    </w:p>
    <w:p w14:paraId="1050AC71"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56">
        <w:r>
          <w:rPr>
            <w:rFonts w:ascii="Cambria" w:eastAsia="Cambria" w:hAnsi="Cambria" w:cs="Cambria"/>
          </w:rPr>
          <w:t>tdioses@imarpe.gob.pe</w:t>
        </w:r>
      </w:hyperlink>
      <w:r>
        <w:rPr>
          <w:rFonts w:ascii="Cambria" w:eastAsia="Cambria" w:hAnsi="Cambria" w:cs="Cambria"/>
        </w:rPr>
        <w:t xml:space="preserve"> </w:t>
      </w:r>
      <w:hyperlink r:id="rId57"/>
    </w:p>
    <w:p w14:paraId="01F421FA" w14:textId="77777777" w:rsidR="00513DED" w:rsidRDefault="000F2C02">
      <w:pPr>
        <w:pStyle w:val="Normal1"/>
        <w:spacing w:after="0"/>
      </w:pPr>
      <w:hyperlink r:id="rId58"/>
    </w:p>
    <w:p w14:paraId="0DC82CC5"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Enrique RAMOS-VASQUEZ</w:t>
      </w:r>
    </w:p>
    <w:p w14:paraId="536A36D8"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Instituto del Mar del Peru (IMARPE)</w:t>
      </w:r>
    </w:p>
    <w:p w14:paraId="2CC6CC92" w14:textId="77777777" w:rsidR="00513DED" w:rsidRDefault="00CB5559">
      <w:pPr>
        <w:pStyle w:val="Normal1"/>
        <w:spacing w:after="0"/>
      </w:pPr>
      <w:r>
        <w:rPr>
          <w:rFonts w:ascii="Cambria" w:eastAsia="Cambria" w:hAnsi="Cambria" w:cs="Cambria"/>
        </w:rPr>
        <w:t>Address:</w:t>
      </w:r>
      <w:r>
        <w:rPr>
          <w:rFonts w:ascii="Cambria" w:eastAsia="Cambria" w:hAnsi="Cambria" w:cs="Cambria"/>
        </w:rPr>
        <w:tab/>
        <w:t>IMARPE, PO Box 22, Callao, Peru</w:t>
      </w:r>
    </w:p>
    <w:p w14:paraId="61A2B72F"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t>enramos@imarpe@gob.pe</w:t>
      </w:r>
    </w:p>
    <w:p w14:paraId="3A5A5E1E" w14:textId="77777777" w:rsidR="00513DED" w:rsidRPr="00925F09" w:rsidRDefault="00513DED">
      <w:pPr>
        <w:pStyle w:val="Normal1"/>
        <w:spacing w:after="0"/>
        <w:rPr>
          <w:lang w:val="es-ES"/>
        </w:rPr>
      </w:pPr>
    </w:p>
    <w:p w14:paraId="37D968C9"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Miguel NIQUEN</w:t>
      </w:r>
    </w:p>
    <w:p w14:paraId="2A95B03A"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Instituto del Mar del Peru (IMARPE)</w:t>
      </w:r>
    </w:p>
    <w:p w14:paraId="4B96664E" w14:textId="77777777" w:rsidR="00513DED" w:rsidRDefault="00CB5559">
      <w:pPr>
        <w:pStyle w:val="Normal1"/>
        <w:spacing w:after="0"/>
      </w:pPr>
      <w:r>
        <w:rPr>
          <w:rFonts w:ascii="Cambria" w:eastAsia="Cambria" w:hAnsi="Cambria" w:cs="Cambria"/>
        </w:rPr>
        <w:t>Address:</w:t>
      </w:r>
      <w:r>
        <w:rPr>
          <w:rFonts w:ascii="Cambria" w:eastAsia="Cambria" w:hAnsi="Cambria" w:cs="Cambria"/>
        </w:rPr>
        <w:tab/>
        <w:t>IMARPE, PO Box 22, Callao, Peru</w:t>
      </w:r>
    </w:p>
    <w:p w14:paraId="63DF91E1"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59">
        <w:r w:rsidRPr="00925F09">
          <w:rPr>
            <w:rFonts w:ascii="Cambria" w:eastAsia="Cambria" w:hAnsi="Cambria" w:cs="Cambria"/>
            <w:lang w:val="es-ES"/>
          </w:rPr>
          <w:t>mniquen@imarpe.gob.pe</w:t>
        </w:r>
      </w:hyperlink>
    </w:p>
    <w:p w14:paraId="12EC52E3" w14:textId="77777777" w:rsidR="00513DED" w:rsidRPr="00925F09" w:rsidRDefault="00513DED">
      <w:pPr>
        <w:pStyle w:val="Normal1"/>
        <w:spacing w:after="0"/>
        <w:rPr>
          <w:lang w:val="es-ES"/>
        </w:rPr>
      </w:pPr>
    </w:p>
    <w:p w14:paraId="0F348265"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Renato GUEVARA</w:t>
      </w:r>
    </w:p>
    <w:p w14:paraId="6C7B0B72"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Instituto del Mar del Peru (IMARPE)</w:t>
      </w:r>
    </w:p>
    <w:p w14:paraId="4772FB71" w14:textId="77777777" w:rsidR="00513DED" w:rsidRDefault="00CB5559">
      <w:pPr>
        <w:pStyle w:val="Normal1"/>
        <w:spacing w:after="0"/>
      </w:pPr>
      <w:r>
        <w:rPr>
          <w:rFonts w:ascii="Cambria" w:eastAsia="Cambria" w:hAnsi="Cambria" w:cs="Cambria"/>
        </w:rPr>
        <w:t>Address:</w:t>
      </w:r>
      <w:r>
        <w:rPr>
          <w:rFonts w:ascii="Cambria" w:eastAsia="Cambria" w:hAnsi="Cambria" w:cs="Cambria"/>
        </w:rPr>
        <w:tab/>
        <w:t>IMARPE, PO Box 22, Callao, Peru</w:t>
      </w:r>
    </w:p>
    <w:p w14:paraId="2124EE9A"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60">
        <w:r w:rsidRPr="00925F09">
          <w:rPr>
            <w:rFonts w:ascii="Cambria" w:eastAsia="Cambria" w:hAnsi="Cambria" w:cs="Cambria"/>
            <w:lang w:val="es-ES"/>
          </w:rPr>
          <w:t>rguevara@imarpe.gob.pe</w:t>
        </w:r>
      </w:hyperlink>
    </w:p>
    <w:p w14:paraId="20E2478A" w14:textId="77777777" w:rsidR="00513DED" w:rsidRPr="00925F09" w:rsidRDefault="00513DED">
      <w:pPr>
        <w:pStyle w:val="Normal1"/>
        <w:spacing w:after="0"/>
        <w:rPr>
          <w:lang w:val="es-ES"/>
        </w:rPr>
      </w:pPr>
    </w:p>
    <w:p w14:paraId="23DF3873"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Anibal ALIAGA</w:t>
      </w:r>
    </w:p>
    <w:p w14:paraId="458559E9"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Sociedad Nacional De Pesqueria</w:t>
      </w:r>
    </w:p>
    <w:p w14:paraId="27D71A16"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Av. Republica de Panama 3591, Pisco 9 San Isidro, Lima, Peru</w:t>
      </w:r>
    </w:p>
    <w:p w14:paraId="02107AB0" w14:textId="77777777" w:rsidR="00513DED" w:rsidRPr="00925F09" w:rsidRDefault="00CB5559">
      <w:pPr>
        <w:pStyle w:val="Normal1"/>
        <w:spacing w:after="0"/>
        <w:rPr>
          <w:lang w:val="es-ES"/>
        </w:rPr>
      </w:pPr>
      <w:r w:rsidRPr="00925F09">
        <w:rPr>
          <w:rFonts w:ascii="Cambria" w:eastAsia="Cambria" w:hAnsi="Cambria" w:cs="Cambria"/>
          <w:lang w:val="es-ES"/>
        </w:rPr>
        <w:t>Email:</w:t>
      </w:r>
      <w:r w:rsidRPr="00925F09">
        <w:rPr>
          <w:rFonts w:ascii="Cambria" w:eastAsia="Cambria" w:hAnsi="Cambria" w:cs="Cambria"/>
          <w:lang w:val="es-ES"/>
        </w:rPr>
        <w:tab/>
      </w:r>
      <w:r w:rsidRPr="00925F09">
        <w:rPr>
          <w:rFonts w:ascii="Cambria" w:eastAsia="Cambria" w:hAnsi="Cambria" w:cs="Cambria"/>
          <w:lang w:val="es-ES"/>
        </w:rPr>
        <w:tab/>
      </w:r>
      <w:hyperlink r:id="rId61">
        <w:r w:rsidRPr="00925F09">
          <w:rPr>
            <w:rFonts w:ascii="Cambria" w:eastAsia="Cambria" w:hAnsi="Cambria" w:cs="Cambria"/>
            <w:lang w:val="es-ES"/>
          </w:rPr>
          <w:t>snpnet@snp.org.pe</w:t>
        </w:r>
      </w:hyperlink>
    </w:p>
    <w:p w14:paraId="4D3F6A5C" w14:textId="77777777" w:rsidR="00513DED" w:rsidRPr="00925F09" w:rsidRDefault="00513DED">
      <w:pPr>
        <w:pStyle w:val="Normal1"/>
        <w:spacing w:after="0"/>
        <w:rPr>
          <w:lang w:val="es-ES"/>
        </w:rPr>
      </w:pPr>
    </w:p>
    <w:p w14:paraId="14E01CA6"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Freddy Fernando SARMIENTO BETANCOURT</w:t>
      </w:r>
    </w:p>
    <w:p w14:paraId="74B7D2E2"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Oficinas del Congreso de La Republica</w:t>
      </w:r>
    </w:p>
    <w:p w14:paraId="4B222C5A" w14:textId="77777777" w:rsidR="00513DED" w:rsidRDefault="00CB5559">
      <w:pPr>
        <w:pStyle w:val="Normal1"/>
        <w:spacing w:after="0"/>
      </w:pPr>
      <w:r>
        <w:rPr>
          <w:rFonts w:ascii="Cambria" w:eastAsia="Cambria" w:hAnsi="Cambria" w:cs="Cambria"/>
        </w:rPr>
        <w:t>Address:</w:t>
      </w:r>
      <w:r>
        <w:rPr>
          <w:rFonts w:ascii="Cambria" w:eastAsia="Cambria" w:hAnsi="Cambria" w:cs="Cambria"/>
        </w:rPr>
        <w:tab/>
        <w:t>Jr Ancash 569 Oficina 147, Lima, Peru</w:t>
      </w:r>
    </w:p>
    <w:p w14:paraId="790C4319"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62">
        <w:r>
          <w:rPr>
            <w:rFonts w:ascii="Cambria" w:eastAsia="Cambria" w:hAnsi="Cambria" w:cs="Cambria"/>
          </w:rPr>
          <w:t>fsarmiento41@gmail.com</w:t>
        </w:r>
      </w:hyperlink>
    </w:p>
    <w:p w14:paraId="6676FE15" w14:textId="77777777" w:rsidR="00513DED" w:rsidRDefault="00513DED">
      <w:pPr>
        <w:pStyle w:val="Normal1"/>
        <w:spacing w:after="0"/>
      </w:pPr>
    </w:p>
    <w:p w14:paraId="09CC20F5" w14:textId="77777777" w:rsidR="00925F09" w:rsidRPr="00E5117D" w:rsidRDefault="00925F09">
      <w:pPr>
        <w:pStyle w:val="Normal1"/>
        <w:spacing w:after="0"/>
        <w:rPr>
          <w:rFonts w:ascii="Cambria" w:eastAsia="Cambria" w:hAnsi="Cambria" w:cs="Cambria"/>
        </w:rPr>
      </w:pPr>
    </w:p>
    <w:p w14:paraId="7DFE49F6" w14:textId="77777777" w:rsidR="00513DED" w:rsidRPr="00925F09" w:rsidRDefault="00CB5559">
      <w:pPr>
        <w:pStyle w:val="Normal1"/>
        <w:spacing w:after="0"/>
        <w:rPr>
          <w:lang w:val="es-ES"/>
        </w:rPr>
      </w:pPr>
      <w:r w:rsidRPr="00925F09">
        <w:rPr>
          <w:rFonts w:ascii="Cambria" w:eastAsia="Cambria" w:hAnsi="Cambria" w:cs="Cambria"/>
          <w:lang w:val="es-ES"/>
        </w:rPr>
        <w:lastRenderedPageBreak/>
        <w:t>Name:</w:t>
      </w:r>
      <w:r w:rsidRPr="00925F09">
        <w:rPr>
          <w:rFonts w:ascii="Cambria" w:eastAsia="Cambria" w:hAnsi="Cambria" w:cs="Cambria"/>
          <w:lang w:val="es-ES"/>
        </w:rPr>
        <w:tab/>
      </w:r>
      <w:r w:rsidRPr="00925F09">
        <w:rPr>
          <w:rFonts w:ascii="Cambria" w:eastAsia="Cambria" w:hAnsi="Cambria" w:cs="Cambria"/>
          <w:lang w:val="es-ES"/>
        </w:rPr>
        <w:tab/>
        <w:t>Oscar BERNALES</w:t>
      </w:r>
    </w:p>
    <w:p w14:paraId="1F685682"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Congreso de La Republica</w:t>
      </w:r>
    </w:p>
    <w:p w14:paraId="00CB81B0" w14:textId="77777777" w:rsidR="00513DED" w:rsidRDefault="00CB5559">
      <w:pPr>
        <w:pStyle w:val="Normal1"/>
        <w:spacing w:after="0"/>
      </w:pPr>
      <w:r>
        <w:rPr>
          <w:rFonts w:ascii="Cambria" w:eastAsia="Cambria" w:hAnsi="Cambria" w:cs="Cambria"/>
        </w:rPr>
        <w:t>Address:</w:t>
      </w:r>
      <w:r>
        <w:rPr>
          <w:rFonts w:ascii="Cambria" w:eastAsia="Cambria" w:hAnsi="Cambria" w:cs="Cambria"/>
        </w:rPr>
        <w:tab/>
        <w:t>Jr Ancash 569 Oficina 147, Lima, Peru</w:t>
      </w:r>
    </w:p>
    <w:p w14:paraId="1A3AE2DB"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63">
        <w:r>
          <w:rPr>
            <w:rFonts w:ascii="Cambria" w:eastAsia="Cambria" w:hAnsi="Cambria" w:cs="Cambria"/>
          </w:rPr>
          <w:t>homelawyer4@gmail.com</w:t>
        </w:r>
      </w:hyperlink>
    </w:p>
    <w:p w14:paraId="601D9B96" w14:textId="77777777" w:rsidR="00513DED" w:rsidRDefault="00513DED">
      <w:pPr>
        <w:pStyle w:val="Normal1"/>
        <w:spacing w:after="0"/>
      </w:pPr>
    </w:p>
    <w:p w14:paraId="6AE6BF64"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Ulises MUNAYLLA</w:t>
      </w:r>
    </w:p>
    <w:p w14:paraId="31494515" w14:textId="77777777" w:rsidR="00513DED" w:rsidRPr="00925F09" w:rsidRDefault="00CB5559">
      <w:pPr>
        <w:pStyle w:val="Normal1"/>
        <w:spacing w:after="0"/>
        <w:rPr>
          <w:lang w:val="es-ES"/>
        </w:rPr>
      </w:pPr>
      <w:r w:rsidRPr="00925F09">
        <w:rPr>
          <w:rFonts w:ascii="Cambria" w:eastAsia="Cambria" w:hAnsi="Cambria" w:cs="Cambria"/>
          <w:lang w:val="es-ES"/>
        </w:rPr>
        <w:t>Organisation:</w:t>
      </w:r>
      <w:r w:rsidRPr="00925F09">
        <w:rPr>
          <w:rFonts w:ascii="Cambria" w:eastAsia="Cambria" w:hAnsi="Cambria" w:cs="Cambria"/>
          <w:lang w:val="es-ES"/>
        </w:rPr>
        <w:tab/>
        <w:t>Sociedad Nacional de Pesqueria</w:t>
      </w:r>
    </w:p>
    <w:p w14:paraId="62EC03E1"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 xml:space="preserve">Av. Republica de Panama 3591, Piso 9, San Isidro, Lima, Peru </w:t>
      </w:r>
    </w:p>
    <w:p w14:paraId="135DB2FF"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64">
        <w:r>
          <w:rPr>
            <w:rFonts w:ascii="Cambria" w:eastAsia="Cambria" w:hAnsi="Cambria" w:cs="Cambria"/>
          </w:rPr>
          <w:t>snpnet@snp.org.pe</w:t>
        </w:r>
      </w:hyperlink>
    </w:p>
    <w:p w14:paraId="0CA89577" w14:textId="77777777" w:rsidR="00513DED" w:rsidRDefault="000F2C02">
      <w:pPr>
        <w:pStyle w:val="Normal1"/>
        <w:spacing w:after="0"/>
      </w:pPr>
      <w:hyperlink r:id="rId65"/>
    </w:p>
    <w:p w14:paraId="3A7AABE1" w14:textId="77777777" w:rsidR="00513DED" w:rsidRDefault="000F2C02">
      <w:pPr>
        <w:pStyle w:val="Normal1"/>
        <w:spacing w:after="0"/>
      </w:pPr>
      <w:hyperlink r:id="rId66"/>
    </w:p>
    <w:p w14:paraId="0F20B2AE" w14:textId="77777777" w:rsidR="00513DED" w:rsidRDefault="00CB5559">
      <w:pPr>
        <w:pStyle w:val="Normal1"/>
        <w:spacing w:after="0"/>
      </w:pPr>
      <w:r>
        <w:rPr>
          <w:rFonts w:ascii="Cambria" w:eastAsia="Cambria" w:hAnsi="Cambria" w:cs="Cambria"/>
          <w:b/>
        </w:rPr>
        <w:t>UNITED STATES OF AMERICA</w:t>
      </w:r>
    </w:p>
    <w:p w14:paraId="74736BD0" w14:textId="77777777" w:rsidR="00513DED" w:rsidRDefault="00513DED">
      <w:pPr>
        <w:pStyle w:val="Normal1"/>
        <w:spacing w:after="0"/>
      </w:pPr>
    </w:p>
    <w:p w14:paraId="0AFC0A05"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Gerard DiNARDO</w:t>
      </w:r>
    </w:p>
    <w:p w14:paraId="0219143F"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NOAA Fisheries, Pacific Islands Fisheries Science Center</w:t>
      </w:r>
    </w:p>
    <w:p w14:paraId="172A71BB" w14:textId="77777777" w:rsidR="00513DED" w:rsidRDefault="00CB5559">
      <w:pPr>
        <w:pStyle w:val="Normal1"/>
        <w:spacing w:after="0" w:line="276" w:lineRule="auto"/>
      </w:pPr>
      <w:r>
        <w:rPr>
          <w:rFonts w:ascii="Cambria" w:eastAsia="Cambria" w:hAnsi="Cambria" w:cs="Cambria"/>
        </w:rPr>
        <w:t xml:space="preserve">Address: </w:t>
      </w:r>
      <w:r>
        <w:rPr>
          <w:rFonts w:ascii="Cambria" w:eastAsia="Cambria" w:hAnsi="Cambria" w:cs="Cambria"/>
        </w:rPr>
        <w:tab/>
        <w:t>1845 Wasp Blvd., Building 176, Honolulu, HI 96818</w:t>
      </w:r>
    </w:p>
    <w:p w14:paraId="5259D94B"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67">
        <w:r>
          <w:rPr>
            <w:rFonts w:ascii="Cambria" w:eastAsia="Cambria" w:hAnsi="Cambria" w:cs="Cambria"/>
          </w:rPr>
          <w:t>gerard.dinardo@noaa.gov</w:t>
        </w:r>
      </w:hyperlink>
    </w:p>
    <w:p w14:paraId="5BF1F23A" w14:textId="77777777" w:rsidR="00513DED" w:rsidRDefault="00513DED">
      <w:pPr>
        <w:pStyle w:val="Normal1"/>
        <w:spacing w:after="0" w:line="276" w:lineRule="auto"/>
      </w:pPr>
    </w:p>
    <w:p w14:paraId="6BE68F0F"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Annie YAU</w:t>
      </w:r>
    </w:p>
    <w:p w14:paraId="070B132F"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NOAA Fisheries, Pacific Islands Fisheries Science Center</w:t>
      </w:r>
    </w:p>
    <w:p w14:paraId="4EEBB8BB" w14:textId="77777777" w:rsidR="00513DED" w:rsidRDefault="00CB5559">
      <w:pPr>
        <w:pStyle w:val="Normal1"/>
        <w:spacing w:after="0" w:line="276" w:lineRule="auto"/>
      </w:pPr>
      <w:r>
        <w:rPr>
          <w:rFonts w:ascii="Cambria" w:eastAsia="Cambria" w:hAnsi="Cambria" w:cs="Cambria"/>
        </w:rPr>
        <w:t xml:space="preserve">Address: </w:t>
      </w:r>
      <w:r>
        <w:rPr>
          <w:rFonts w:ascii="Cambria" w:eastAsia="Cambria" w:hAnsi="Cambria" w:cs="Cambria"/>
        </w:rPr>
        <w:tab/>
        <w:t>1845 Wasp Blvd., Building 176, Honolulu, HI 96818</w:t>
      </w:r>
    </w:p>
    <w:p w14:paraId="441AC2CA"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68">
        <w:r>
          <w:rPr>
            <w:rFonts w:ascii="Cambria" w:eastAsia="Cambria" w:hAnsi="Cambria" w:cs="Cambria"/>
          </w:rPr>
          <w:t>annie.yau@noaa.gov</w:t>
        </w:r>
      </w:hyperlink>
    </w:p>
    <w:p w14:paraId="51AF8597" w14:textId="77777777" w:rsidR="00513DED" w:rsidRDefault="00513DED">
      <w:pPr>
        <w:pStyle w:val="Normal1"/>
        <w:spacing w:after="0" w:line="276" w:lineRule="auto"/>
      </w:pPr>
    </w:p>
    <w:p w14:paraId="55A4D343"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Michael Tosatto</w:t>
      </w:r>
    </w:p>
    <w:p w14:paraId="2F499046"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NOAA Fisheries, Pacific Islands Regional Office</w:t>
      </w:r>
    </w:p>
    <w:p w14:paraId="3430AC97" w14:textId="77777777" w:rsidR="00513DED" w:rsidRDefault="00CB5559">
      <w:pPr>
        <w:pStyle w:val="Normal1"/>
        <w:spacing w:after="0" w:line="276" w:lineRule="auto"/>
      </w:pPr>
      <w:r>
        <w:rPr>
          <w:rFonts w:ascii="Cambria" w:eastAsia="Cambria" w:hAnsi="Cambria" w:cs="Cambria"/>
        </w:rPr>
        <w:t xml:space="preserve">Address: </w:t>
      </w:r>
      <w:r>
        <w:rPr>
          <w:rFonts w:ascii="Cambria" w:eastAsia="Cambria" w:hAnsi="Cambria" w:cs="Cambria"/>
        </w:rPr>
        <w:tab/>
        <w:t>1845 Wasp Blvd., Building 176, Honolulu, HI 96818</w:t>
      </w:r>
    </w:p>
    <w:p w14:paraId="4A59EA8E"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69">
        <w:r>
          <w:rPr>
            <w:rFonts w:ascii="Cambria" w:eastAsia="Cambria" w:hAnsi="Cambria" w:cs="Cambria"/>
          </w:rPr>
          <w:t>michael.tosatto@noaa.gov</w:t>
        </w:r>
      </w:hyperlink>
      <w:r>
        <w:rPr>
          <w:rFonts w:ascii="Cambria" w:eastAsia="Cambria" w:hAnsi="Cambria" w:cs="Cambria"/>
        </w:rPr>
        <w:t xml:space="preserve"> </w:t>
      </w:r>
    </w:p>
    <w:p w14:paraId="76883149" w14:textId="77777777" w:rsidR="00513DED" w:rsidRDefault="00CB5559">
      <w:pPr>
        <w:pStyle w:val="Normal1"/>
        <w:spacing w:after="0" w:line="276" w:lineRule="auto"/>
      </w:pPr>
      <w:r>
        <w:rPr>
          <w:rFonts w:ascii="Cambria" w:eastAsia="Cambria" w:hAnsi="Cambria" w:cs="Cambria"/>
          <w:b/>
        </w:rPr>
        <w:t xml:space="preserve"> </w:t>
      </w:r>
    </w:p>
    <w:p w14:paraId="61D7A658"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Rini GHOSH</w:t>
      </w:r>
    </w:p>
    <w:p w14:paraId="29155C4E"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NOAA Fisheries, Pacific Islands Regional Office</w:t>
      </w:r>
    </w:p>
    <w:p w14:paraId="3382EA1D" w14:textId="77777777" w:rsidR="00513DED" w:rsidRDefault="00CB5559">
      <w:pPr>
        <w:pStyle w:val="Normal1"/>
        <w:spacing w:after="0" w:line="276" w:lineRule="auto"/>
      </w:pPr>
      <w:r>
        <w:rPr>
          <w:rFonts w:ascii="Cambria" w:eastAsia="Cambria" w:hAnsi="Cambria" w:cs="Cambria"/>
        </w:rPr>
        <w:t xml:space="preserve">Address: </w:t>
      </w:r>
      <w:r>
        <w:rPr>
          <w:rFonts w:ascii="Cambria" w:eastAsia="Cambria" w:hAnsi="Cambria" w:cs="Cambria"/>
        </w:rPr>
        <w:tab/>
        <w:t>1845 Wasp Blvd., Building 176, Honolulu, HI 96818</w:t>
      </w:r>
    </w:p>
    <w:p w14:paraId="405C22D7"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70">
        <w:r>
          <w:rPr>
            <w:rFonts w:ascii="Cambria" w:eastAsia="Cambria" w:hAnsi="Cambria" w:cs="Cambria"/>
          </w:rPr>
          <w:t>rini.ghosh@noaa.gov</w:t>
        </w:r>
      </w:hyperlink>
    </w:p>
    <w:p w14:paraId="29B176D0" w14:textId="77777777" w:rsidR="00513DED" w:rsidRDefault="00CB5559">
      <w:pPr>
        <w:pStyle w:val="Normal1"/>
        <w:spacing w:after="0" w:line="276" w:lineRule="auto"/>
      </w:pPr>
      <w:r>
        <w:rPr>
          <w:rFonts w:ascii="Cambria" w:eastAsia="Cambria" w:hAnsi="Cambria" w:cs="Cambria"/>
          <w:b/>
        </w:rPr>
        <w:t xml:space="preserve"> </w:t>
      </w:r>
    </w:p>
    <w:p w14:paraId="1827C1D6"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Valerie CHAN</w:t>
      </w:r>
    </w:p>
    <w:p w14:paraId="4843F207"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NOAA Fisheries, Pacific Islands Regional Office</w:t>
      </w:r>
    </w:p>
    <w:p w14:paraId="71A8D4BA" w14:textId="77777777" w:rsidR="00513DED" w:rsidRDefault="00CB5559">
      <w:pPr>
        <w:pStyle w:val="Normal1"/>
        <w:spacing w:after="0" w:line="276" w:lineRule="auto"/>
      </w:pPr>
      <w:r>
        <w:rPr>
          <w:rFonts w:ascii="Cambria" w:eastAsia="Cambria" w:hAnsi="Cambria" w:cs="Cambria"/>
        </w:rPr>
        <w:t>Address:</w:t>
      </w:r>
      <w:r>
        <w:rPr>
          <w:rFonts w:ascii="Cambria" w:eastAsia="Cambria" w:hAnsi="Cambria" w:cs="Cambria"/>
        </w:rPr>
        <w:tab/>
        <w:t>1845 Wasp Blvd., Building 176, Honolulu, HI 96818</w:t>
      </w:r>
    </w:p>
    <w:p w14:paraId="74F5C9C5"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71">
        <w:r>
          <w:rPr>
            <w:rFonts w:ascii="Cambria" w:eastAsia="Cambria" w:hAnsi="Cambria" w:cs="Cambria"/>
          </w:rPr>
          <w:t>valerie.chan@noaa.gov</w:t>
        </w:r>
      </w:hyperlink>
    </w:p>
    <w:p w14:paraId="144A817B" w14:textId="77777777" w:rsidR="00513DED" w:rsidRDefault="00CB5559">
      <w:pPr>
        <w:pStyle w:val="Normal1"/>
        <w:spacing w:after="0" w:line="276" w:lineRule="auto"/>
      </w:pPr>
      <w:r>
        <w:rPr>
          <w:rFonts w:ascii="Cambria" w:eastAsia="Cambria" w:hAnsi="Cambria" w:cs="Cambria"/>
          <w:b/>
        </w:rPr>
        <w:t xml:space="preserve"> </w:t>
      </w:r>
    </w:p>
    <w:p w14:paraId="0956095A"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Zora McGINNIS</w:t>
      </w:r>
    </w:p>
    <w:p w14:paraId="44B187FA"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NOAA Fisheries, Pacific Islands Regional Office</w:t>
      </w:r>
    </w:p>
    <w:p w14:paraId="69BA6A31" w14:textId="77777777" w:rsidR="00513DED" w:rsidRDefault="00CB5559">
      <w:pPr>
        <w:pStyle w:val="Normal1"/>
        <w:spacing w:after="0" w:line="276" w:lineRule="auto"/>
      </w:pPr>
      <w:r>
        <w:rPr>
          <w:rFonts w:ascii="Cambria" w:eastAsia="Cambria" w:hAnsi="Cambria" w:cs="Cambria"/>
        </w:rPr>
        <w:t xml:space="preserve">Address: </w:t>
      </w:r>
      <w:r>
        <w:rPr>
          <w:rFonts w:ascii="Cambria" w:eastAsia="Cambria" w:hAnsi="Cambria" w:cs="Cambria"/>
        </w:rPr>
        <w:tab/>
        <w:t>1845 Wasp Blvd., Building 176, Honolulu, HI 96818</w:t>
      </w:r>
    </w:p>
    <w:p w14:paraId="2F88DAFA"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72">
        <w:r>
          <w:rPr>
            <w:rFonts w:ascii="Cambria" w:eastAsia="Cambria" w:hAnsi="Cambria" w:cs="Cambria"/>
          </w:rPr>
          <w:t>zora.mcginnis@noaa.gov</w:t>
        </w:r>
      </w:hyperlink>
    </w:p>
    <w:p w14:paraId="3045885B" w14:textId="77777777" w:rsidR="00513DED" w:rsidRDefault="00513DED">
      <w:pPr>
        <w:pStyle w:val="Normal1"/>
        <w:spacing w:after="0"/>
      </w:pPr>
    </w:p>
    <w:p w14:paraId="13DD5842" w14:textId="77777777" w:rsidR="00513DED" w:rsidRDefault="00CB5559">
      <w:pPr>
        <w:pStyle w:val="Normal1"/>
        <w:spacing w:after="0"/>
      </w:pPr>
      <w:r>
        <w:rPr>
          <w:rFonts w:ascii="Cambria" w:eastAsia="Cambria" w:hAnsi="Cambria" w:cs="Cambria"/>
          <w:b/>
          <w:u w:val="single"/>
        </w:rPr>
        <w:t>INVITED EXPERT</w:t>
      </w:r>
    </w:p>
    <w:p w14:paraId="2D8FA063" w14:textId="77777777" w:rsidR="00513DED" w:rsidRDefault="00513DED">
      <w:pPr>
        <w:pStyle w:val="Normal1"/>
        <w:spacing w:after="0"/>
      </w:pPr>
    </w:p>
    <w:p w14:paraId="7A08C995" w14:textId="77777777" w:rsidR="00513DED" w:rsidRPr="00925F09" w:rsidRDefault="00CB5559">
      <w:pPr>
        <w:pStyle w:val="Normal1"/>
        <w:spacing w:after="0"/>
        <w:rPr>
          <w:lang w:val="es-ES"/>
        </w:rPr>
      </w:pPr>
      <w:r w:rsidRPr="00925F09">
        <w:rPr>
          <w:rFonts w:ascii="Cambria" w:eastAsia="Cambria" w:hAnsi="Cambria" w:cs="Cambria"/>
          <w:lang w:val="es-ES"/>
        </w:rPr>
        <w:t>Name:</w:t>
      </w:r>
      <w:r w:rsidRPr="00925F09">
        <w:rPr>
          <w:rFonts w:ascii="Cambria" w:eastAsia="Cambria" w:hAnsi="Cambria" w:cs="Cambria"/>
          <w:lang w:val="es-ES"/>
        </w:rPr>
        <w:tab/>
      </w:r>
      <w:r w:rsidRPr="00925F09">
        <w:rPr>
          <w:rFonts w:ascii="Cambria" w:eastAsia="Cambria" w:hAnsi="Cambria" w:cs="Cambria"/>
          <w:lang w:val="es-ES"/>
        </w:rPr>
        <w:tab/>
        <w:t>Pedro TRILLO</w:t>
      </w:r>
    </w:p>
    <w:p w14:paraId="3E2A4E3E" w14:textId="77777777" w:rsidR="00513DED" w:rsidRPr="00925F09" w:rsidRDefault="00CB5559">
      <w:pPr>
        <w:pStyle w:val="Normal1"/>
        <w:spacing w:after="0"/>
        <w:ind w:left="1440"/>
        <w:rPr>
          <w:lang w:val="es-ES"/>
        </w:rPr>
      </w:pPr>
      <w:r w:rsidRPr="00925F09">
        <w:rPr>
          <w:rFonts w:ascii="Cambria" w:eastAsia="Cambria" w:hAnsi="Cambria" w:cs="Cambria"/>
          <w:lang w:val="es-ES"/>
        </w:rPr>
        <w:t>Organisation:</w:t>
      </w:r>
      <w:r w:rsidRPr="00925F09">
        <w:rPr>
          <w:rFonts w:ascii="Cambria" w:eastAsia="Cambria" w:hAnsi="Cambria" w:cs="Cambria"/>
          <w:lang w:val="es-ES"/>
        </w:rPr>
        <w:tab/>
        <w:t xml:space="preserve">IREA - Instituto de Recursos Acuaticos </w:t>
      </w:r>
    </w:p>
    <w:p w14:paraId="780876C3" w14:textId="77777777" w:rsidR="00513DED" w:rsidRPr="00925F09" w:rsidRDefault="00CB5559">
      <w:pPr>
        <w:pStyle w:val="Normal1"/>
        <w:spacing w:after="0"/>
        <w:rPr>
          <w:lang w:val="es-ES"/>
        </w:rPr>
      </w:pPr>
      <w:r w:rsidRPr="00925F09">
        <w:rPr>
          <w:rFonts w:ascii="Cambria" w:eastAsia="Cambria" w:hAnsi="Cambria" w:cs="Cambria"/>
          <w:lang w:val="es-ES"/>
        </w:rPr>
        <w:t>Address:</w:t>
      </w:r>
      <w:r w:rsidRPr="00925F09">
        <w:rPr>
          <w:rFonts w:ascii="Cambria" w:eastAsia="Cambria" w:hAnsi="Cambria" w:cs="Cambria"/>
          <w:lang w:val="es-ES"/>
        </w:rPr>
        <w:tab/>
        <w:t>Av. Manuel Olguin 501, Oficina 902 B, Lima 33, Peru</w:t>
      </w:r>
    </w:p>
    <w:p w14:paraId="77C119A9"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73">
        <w:r>
          <w:rPr>
            <w:rFonts w:ascii="Cambria" w:eastAsia="Cambria" w:hAnsi="Cambria" w:cs="Cambria"/>
          </w:rPr>
          <w:t>ptrillo@irea.org.pe</w:t>
        </w:r>
      </w:hyperlink>
    </w:p>
    <w:p w14:paraId="46026E4B" w14:textId="77777777" w:rsidR="00513DED" w:rsidRDefault="000F2C02">
      <w:pPr>
        <w:pStyle w:val="Normal1"/>
        <w:spacing w:after="0"/>
      </w:pPr>
      <w:hyperlink r:id="rId74"/>
    </w:p>
    <w:p w14:paraId="664DFD7F" w14:textId="77777777" w:rsidR="00513DED" w:rsidRDefault="00CB5559">
      <w:pPr>
        <w:pStyle w:val="Normal1"/>
        <w:spacing w:after="0"/>
      </w:pPr>
      <w:r>
        <w:rPr>
          <w:rFonts w:ascii="Cambria" w:eastAsia="Cambria" w:hAnsi="Cambria" w:cs="Cambria"/>
          <w:b/>
          <w:u w:val="single"/>
        </w:rPr>
        <w:t>INTER-GOVERNMENTAL ORGANISATION OBSERVERS</w:t>
      </w:r>
    </w:p>
    <w:p w14:paraId="5902F190" w14:textId="77777777" w:rsidR="00513DED" w:rsidRDefault="00513DED">
      <w:pPr>
        <w:pStyle w:val="Normal1"/>
        <w:spacing w:after="0"/>
      </w:pPr>
    </w:p>
    <w:p w14:paraId="60FA07E3" w14:textId="77777777" w:rsidR="00513DED" w:rsidRDefault="00CB5559">
      <w:pPr>
        <w:pStyle w:val="Normal1"/>
        <w:spacing w:after="0"/>
      </w:pPr>
      <w:r>
        <w:rPr>
          <w:rFonts w:ascii="Cambria" w:eastAsia="Cambria" w:hAnsi="Cambria" w:cs="Cambria"/>
          <w:b/>
        </w:rPr>
        <w:t>ACAP</w:t>
      </w:r>
    </w:p>
    <w:p w14:paraId="730D82DA" w14:textId="77777777" w:rsidR="00513DED" w:rsidRDefault="00513DED">
      <w:pPr>
        <w:pStyle w:val="Normal1"/>
        <w:spacing w:after="0"/>
      </w:pPr>
    </w:p>
    <w:p w14:paraId="6861DAE8"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Marco FAVERO</w:t>
      </w:r>
    </w:p>
    <w:p w14:paraId="0D17DDE9" w14:textId="77777777" w:rsidR="00513DED" w:rsidRDefault="00CB5559">
      <w:pPr>
        <w:pStyle w:val="Normal1"/>
        <w:spacing w:after="0"/>
        <w:ind w:left="1440"/>
      </w:pPr>
      <w:r>
        <w:rPr>
          <w:rFonts w:ascii="Cambria" w:eastAsia="Cambria" w:hAnsi="Cambria" w:cs="Cambria"/>
        </w:rPr>
        <w:t>Organisation:</w:t>
      </w:r>
      <w:r>
        <w:rPr>
          <w:rFonts w:ascii="Cambria" w:eastAsia="Cambria" w:hAnsi="Cambria" w:cs="Cambria"/>
        </w:rPr>
        <w:tab/>
        <w:t>Agreement on the Conservation of Albatrosses and Petrels</w:t>
      </w:r>
    </w:p>
    <w:p w14:paraId="67A8EF23" w14:textId="77777777" w:rsidR="00513DED" w:rsidRDefault="00CB5559">
      <w:pPr>
        <w:pStyle w:val="Normal1"/>
        <w:spacing w:after="0"/>
      </w:pPr>
      <w:r>
        <w:rPr>
          <w:rFonts w:ascii="Cambria" w:eastAsia="Cambria" w:hAnsi="Cambria" w:cs="Cambria"/>
        </w:rPr>
        <w:t>Address:</w:t>
      </w:r>
      <w:r>
        <w:rPr>
          <w:rFonts w:ascii="Cambria" w:eastAsia="Cambria" w:hAnsi="Cambria" w:cs="Cambria"/>
        </w:rPr>
        <w:tab/>
        <w:t xml:space="preserve">27 Salamanca Square, 7000 Hobart, Tasmania </w:t>
      </w:r>
    </w:p>
    <w:p w14:paraId="56EAF418"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75">
        <w:r>
          <w:rPr>
            <w:rFonts w:ascii="Cambria" w:eastAsia="Cambria" w:hAnsi="Cambria" w:cs="Cambria"/>
          </w:rPr>
          <w:t>mafavero@icloud.com</w:t>
        </w:r>
      </w:hyperlink>
    </w:p>
    <w:p w14:paraId="0EA32985" w14:textId="77777777" w:rsidR="00513DED" w:rsidRDefault="00513DED">
      <w:pPr>
        <w:pStyle w:val="Normal1"/>
        <w:spacing w:after="0"/>
      </w:pPr>
    </w:p>
    <w:p w14:paraId="247C7CE7" w14:textId="77777777" w:rsidR="00513DED" w:rsidRDefault="00513DED">
      <w:pPr>
        <w:pStyle w:val="Normal1"/>
        <w:spacing w:after="0"/>
      </w:pPr>
    </w:p>
    <w:p w14:paraId="56D07C7D" w14:textId="77777777" w:rsidR="00513DED" w:rsidRDefault="00CB5559">
      <w:pPr>
        <w:pStyle w:val="Normal1"/>
        <w:spacing w:after="0"/>
      </w:pPr>
      <w:r>
        <w:rPr>
          <w:rFonts w:ascii="Cambria" w:eastAsia="Cambria" w:hAnsi="Cambria" w:cs="Cambria"/>
          <w:b/>
        </w:rPr>
        <w:t>FAO</w:t>
      </w:r>
    </w:p>
    <w:p w14:paraId="1744A7B2" w14:textId="77777777" w:rsidR="00513DED" w:rsidRDefault="00513DED">
      <w:pPr>
        <w:pStyle w:val="Normal1"/>
        <w:spacing w:after="0"/>
      </w:pPr>
    </w:p>
    <w:p w14:paraId="3FE21ACD"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Fabio CAROCCI</w:t>
      </w:r>
    </w:p>
    <w:p w14:paraId="602AFAB8" w14:textId="77777777" w:rsidR="00513DED" w:rsidRDefault="00CB5559">
      <w:pPr>
        <w:pStyle w:val="Normal1"/>
        <w:spacing w:after="0"/>
        <w:ind w:left="1440" w:hanging="1439"/>
      </w:pPr>
      <w:r>
        <w:rPr>
          <w:rFonts w:ascii="Cambria" w:eastAsia="Cambria" w:hAnsi="Cambria" w:cs="Cambria"/>
        </w:rPr>
        <w:t>Organisation:</w:t>
      </w:r>
      <w:r>
        <w:rPr>
          <w:rFonts w:ascii="Cambria" w:eastAsia="Cambria" w:hAnsi="Cambria" w:cs="Cambria"/>
        </w:rPr>
        <w:tab/>
        <w:t>Food and Agriculture Organization of the United Nations</w:t>
      </w:r>
    </w:p>
    <w:p w14:paraId="6BE15349" w14:textId="77777777" w:rsidR="00513DED" w:rsidRDefault="00CB5559">
      <w:pPr>
        <w:pStyle w:val="Normal1"/>
        <w:spacing w:after="0"/>
      </w:pPr>
      <w:r>
        <w:rPr>
          <w:rFonts w:ascii="Cambria" w:eastAsia="Cambria" w:hAnsi="Cambria" w:cs="Cambria"/>
        </w:rPr>
        <w:t>Address:</w:t>
      </w:r>
      <w:r>
        <w:rPr>
          <w:rFonts w:ascii="Cambria" w:eastAsia="Cambria" w:hAnsi="Cambria" w:cs="Cambria"/>
        </w:rPr>
        <w:tab/>
        <w:t>Viale delle Terme di Caracalla, 00153 Rome, Italy</w:t>
      </w:r>
    </w:p>
    <w:p w14:paraId="3E450DAF"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76">
        <w:r>
          <w:rPr>
            <w:rFonts w:ascii="Cambria" w:eastAsia="Cambria" w:hAnsi="Cambria" w:cs="Cambria"/>
          </w:rPr>
          <w:t>fabio.carocci@fao.org</w:t>
        </w:r>
      </w:hyperlink>
    </w:p>
    <w:p w14:paraId="7A2AB748" w14:textId="77777777" w:rsidR="00513DED" w:rsidRDefault="00513DED">
      <w:pPr>
        <w:pStyle w:val="Normal1"/>
        <w:spacing w:after="0"/>
      </w:pPr>
    </w:p>
    <w:p w14:paraId="53C634A6" w14:textId="77777777" w:rsidR="00513DED" w:rsidRDefault="000F2C02">
      <w:pPr>
        <w:pStyle w:val="Normal1"/>
        <w:spacing w:after="0"/>
      </w:pPr>
      <w:hyperlink r:id="rId77"/>
    </w:p>
    <w:p w14:paraId="75DEA8EE" w14:textId="77777777" w:rsidR="00513DED" w:rsidRDefault="00CB5559">
      <w:pPr>
        <w:pStyle w:val="Normal1"/>
        <w:spacing w:after="0"/>
      </w:pPr>
      <w:r>
        <w:rPr>
          <w:rFonts w:ascii="Cambria" w:eastAsia="Cambria" w:hAnsi="Cambria" w:cs="Cambria"/>
          <w:b/>
          <w:u w:val="single"/>
        </w:rPr>
        <w:t>NON-GOVERNMENTAL ORGANISATION OBSERVERS</w:t>
      </w:r>
    </w:p>
    <w:p w14:paraId="7A03B07D" w14:textId="77777777" w:rsidR="00513DED" w:rsidRDefault="00513DED">
      <w:pPr>
        <w:pStyle w:val="Normal1"/>
        <w:spacing w:after="0"/>
      </w:pPr>
    </w:p>
    <w:p w14:paraId="7A969954" w14:textId="77777777" w:rsidR="00513DED" w:rsidRDefault="00CB5559">
      <w:pPr>
        <w:pStyle w:val="Normal1"/>
        <w:spacing w:after="0"/>
      </w:pPr>
      <w:r>
        <w:rPr>
          <w:rFonts w:ascii="Cambria" w:eastAsia="Cambria" w:hAnsi="Cambria" w:cs="Cambria"/>
          <w:b/>
        </w:rPr>
        <w:t>DSCC</w:t>
      </w:r>
    </w:p>
    <w:p w14:paraId="7E851755" w14:textId="77777777" w:rsidR="00513DED" w:rsidRDefault="00513DED">
      <w:pPr>
        <w:pStyle w:val="Normal1"/>
        <w:spacing w:after="0"/>
      </w:pPr>
    </w:p>
    <w:p w14:paraId="52DD26C4"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Les Watling</w:t>
      </w:r>
    </w:p>
    <w:p w14:paraId="09251608"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Deep Sea Conservation Coalition</w:t>
      </w:r>
    </w:p>
    <w:p w14:paraId="6ECAE8CD" w14:textId="77777777" w:rsidR="00513DED" w:rsidRDefault="00CB5559">
      <w:pPr>
        <w:pStyle w:val="Normal1"/>
        <w:spacing w:after="0" w:line="276" w:lineRule="auto"/>
      </w:pPr>
      <w:r>
        <w:rPr>
          <w:rFonts w:ascii="Cambria" w:eastAsia="Cambria" w:hAnsi="Cambria" w:cs="Cambria"/>
        </w:rPr>
        <w:t xml:space="preserve">Address: </w:t>
      </w:r>
      <w:r>
        <w:rPr>
          <w:rFonts w:ascii="Cambria" w:eastAsia="Cambria" w:hAnsi="Cambria" w:cs="Cambria"/>
        </w:rPr>
        <w:tab/>
        <w:t>Department of Biology, University of Hawaii</w:t>
      </w:r>
    </w:p>
    <w:p w14:paraId="7951EDA4"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78">
        <w:r>
          <w:rPr>
            <w:rFonts w:ascii="Cambria" w:eastAsia="Cambria" w:hAnsi="Cambria" w:cs="Cambria"/>
          </w:rPr>
          <w:t>watling@hawaii.edu</w:t>
        </w:r>
      </w:hyperlink>
    </w:p>
    <w:p w14:paraId="57169F71" w14:textId="77777777" w:rsidR="00513DED" w:rsidRDefault="00513DED">
      <w:pPr>
        <w:pStyle w:val="Normal1"/>
        <w:spacing w:after="0" w:line="276" w:lineRule="auto"/>
      </w:pPr>
    </w:p>
    <w:p w14:paraId="19EF9D6D" w14:textId="77777777" w:rsidR="00513DED" w:rsidRDefault="00CB5559">
      <w:pPr>
        <w:pStyle w:val="Normal1"/>
        <w:spacing w:after="0"/>
      </w:pPr>
      <w:r>
        <w:rPr>
          <w:rFonts w:ascii="Cambria" w:eastAsia="Cambria" w:hAnsi="Cambria" w:cs="Cambria"/>
          <w:b/>
        </w:rPr>
        <w:t>NZ HIGH SEAS FISHERIES GROUP</w:t>
      </w:r>
    </w:p>
    <w:p w14:paraId="18771D3E" w14:textId="77777777" w:rsidR="00513DED" w:rsidRDefault="00513DED">
      <w:pPr>
        <w:pStyle w:val="Normal1"/>
        <w:spacing w:after="0"/>
      </w:pPr>
    </w:p>
    <w:p w14:paraId="2CA9814E"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Andy SMITH</w:t>
      </w:r>
    </w:p>
    <w:p w14:paraId="7DD2667F"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NZ High Seas Fisheries Group Inc</w:t>
      </w:r>
    </w:p>
    <w:p w14:paraId="0BB31C30" w14:textId="77777777" w:rsidR="00513DED" w:rsidRDefault="00CB5559">
      <w:pPr>
        <w:pStyle w:val="Normal1"/>
        <w:spacing w:after="0"/>
      </w:pPr>
      <w:r>
        <w:rPr>
          <w:rFonts w:ascii="Cambria" w:eastAsia="Cambria" w:hAnsi="Cambria" w:cs="Cambria"/>
        </w:rPr>
        <w:t>Address:</w:t>
      </w:r>
      <w:r>
        <w:rPr>
          <w:rFonts w:ascii="Cambria" w:eastAsia="Cambria" w:hAnsi="Cambria" w:cs="Cambria"/>
        </w:rPr>
        <w:tab/>
        <w:t>Maitai Wharf Port Nelson, New Zealand</w:t>
      </w:r>
    </w:p>
    <w:p w14:paraId="714D0F43"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79">
        <w:r>
          <w:rPr>
            <w:rFonts w:ascii="Cambria" w:eastAsia="Cambria" w:hAnsi="Cambria" w:cs="Cambria"/>
          </w:rPr>
          <w:t>andy.smith@nn.talleys.co.nz</w:t>
        </w:r>
      </w:hyperlink>
    </w:p>
    <w:p w14:paraId="344F7587" w14:textId="77777777" w:rsidR="00513DED" w:rsidRDefault="00513DED">
      <w:pPr>
        <w:pStyle w:val="Normal1"/>
        <w:spacing w:after="0"/>
      </w:pPr>
    </w:p>
    <w:p w14:paraId="675C7D01"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Graham PATCHELL</w:t>
      </w:r>
    </w:p>
    <w:p w14:paraId="62347BB5"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NZ High Seas Fisheries Group Inc</w:t>
      </w:r>
    </w:p>
    <w:p w14:paraId="127AC19F" w14:textId="77777777" w:rsidR="00513DED" w:rsidRDefault="00CB5559">
      <w:pPr>
        <w:pStyle w:val="Normal1"/>
        <w:spacing w:after="0"/>
      </w:pPr>
      <w:r>
        <w:rPr>
          <w:rFonts w:ascii="Cambria" w:eastAsia="Cambria" w:hAnsi="Cambria" w:cs="Cambria"/>
        </w:rPr>
        <w:t>Address:</w:t>
      </w:r>
      <w:r>
        <w:rPr>
          <w:rFonts w:ascii="Cambria" w:eastAsia="Cambria" w:hAnsi="Cambria" w:cs="Cambria"/>
        </w:rPr>
        <w:tab/>
        <w:t>PO Box 11, Vickerman street, Nelson, New Zealand</w:t>
      </w:r>
    </w:p>
    <w:p w14:paraId="0A62B5B3"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80">
        <w:r>
          <w:rPr>
            <w:rFonts w:ascii="Cambria" w:eastAsia="Cambria" w:hAnsi="Cambria" w:cs="Cambria"/>
          </w:rPr>
          <w:t>gjp@sealord.co.nz</w:t>
        </w:r>
      </w:hyperlink>
    </w:p>
    <w:p w14:paraId="07E14BB4" w14:textId="77777777" w:rsidR="00513DED" w:rsidRDefault="00513DED">
      <w:pPr>
        <w:pStyle w:val="Normal1"/>
        <w:spacing w:after="0"/>
      </w:pPr>
    </w:p>
    <w:p w14:paraId="6921EA4A"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Ross SHOTTON</w:t>
      </w:r>
    </w:p>
    <w:p w14:paraId="55261809"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NZ High Seas Fisheries Group Inc</w:t>
      </w:r>
    </w:p>
    <w:p w14:paraId="3174F47A" w14:textId="77777777" w:rsidR="00513DED" w:rsidRDefault="00CB5559">
      <w:pPr>
        <w:pStyle w:val="Normal1"/>
        <w:spacing w:after="0"/>
      </w:pPr>
      <w:r>
        <w:rPr>
          <w:rFonts w:ascii="Cambria" w:eastAsia="Cambria" w:hAnsi="Cambria" w:cs="Cambria"/>
        </w:rPr>
        <w:t>Address:</w:t>
      </w:r>
      <w:r>
        <w:rPr>
          <w:rFonts w:ascii="Cambria" w:eastAsia="Cambria" w:hAnsi="Cambria" w:cs="Cambria"/>
        </w:rPr>
        <w:tab/>
        <w:t>Sitias 18 Iraklion 71202 Crete, Greece</w:t>
      </w:r>
    </w:p>
    <w:p w14:paraId="6ED3B2AD"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81">
        <w:r>
          <w:rPr>
            <w:rFonts w:ascii="Cambria" w:eastAsia="Cambria" w:hAnsi="Cambria" w:cs="Cambria"/>
          </w:rPr>
          <w:t>r_shotton@hotmail.com</w:t>
        </w:r>
      </w:hyperlink>
    </w:p>
    <w:p w14:paraId="4A7A8631" w14:textId="77777777" w:rsidR="00513DED" w:rsidRDefault="00513DED">
      <w:pPr>
        <w:pStyle w:val="Normal1"/>
        <w:spacing w:after="0"/>
      </w:pPr>
    </w:p>
    <w:p w14:paraId="597ADCA4" w14:textId="77777777" w:rsidR="00513DED" w:rsidRDefault="00CB5559">
      <w:pPr>
        <w:pStyle w:val="Normal1"/>
        <w:spacing w:after="0"/>
      </w:pPr>
      <w:r>
        <w:rPr>
          <w:rFonts w:ascii="Cambria" w:eastAsia="Cambria" w:hAnsi="Cambria" w:cs="Cambria"/>
          <w:b/>
        </w:rPr>
        <w:t>OCEANA</w:t>
      </w:r>
    </w:p>
    <w:p w14:paraId="596F6D6C" w14:textId="77777777" w:rsidR="00513DED" w:rsidRDefault="00513DED">
      <w:pPr>
        <w:pStyle w:val="Normal1"/>
        <w:spacing w:after="0"/>
      </w:pPr>
    </w:p>
    <w:p w14:paraId="22C5AD04"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Liesbeth VAN DER MEER</w:t>
      </w:r>
    </w:p>
    <w:p w14:paraId="148B31B2"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Oceana</w:t>
      </w:r>
    </w:p>
    <w:p w14:paraId="3AFE38D4" w14:textId="77777777" w:rsidR="00513DED" w:rsidRDefault="00CB5559">
      <w:pPr>
        <w:pStyle w:val="Normal1"/>
        <w:spacing w:after="0" w:line="276" w:lineRule="auto"/>
      </w:pPr>
      <w:r>
        <w:rPr>
          <w:rFonts w:ascii="Cambria" w:eastAsia="Cambria" w:hAnsi="Cambria" w:cs="Cambria"/>
        </w:rPr>
        <w:t xml:space="preserve">Address: </w:t>
      </w:r>
      <w:r>
        <w:rPr>
          <w:rFonts w:ascii="Cambria" w:eastAsia="Cambria" w:hAnsi="Cambria" w:cs="Cambria"/>
        </w:rPr>
        <w:tab/>
        <w:t>CP 7500875</w:t>
      </w:r>
    </w:p>
    <w:p w14:paraId="45D6FB93"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82">
        <w:r>
          <w:rPr>
            <w:rFonts w:ascii="Cambria" w:eastAsia="Cambria" w:hAnsi="Cambria" w:cs="Cambria"/>
          </w:rPr>
          <w:t>lvandermeer@oceana.org</w:t>
        </w:r>
      </w:hyperlink>
    </w:p>
    <w:p w14:paraId="637E1915" w14:textId="77777777" w:rsidR="00513DED" w:rsidRDefault="00513DED">
      <w:pPr>
        <w:pStyle w:val="Normal1"/>
        <w:spacing w:after="0"/>
      </w:pPr>
    </w:p>
    <w:p w14:paraId="77951CEF" w14:textId="77777777" w:rsidR="00513DED" w:rsidRDefault="00513DED">
      <w:pPr>
        <w:pStyle w:val="Normal1"/>
        <w:spacing w:after="0" w:line="276" w:lineRule="auto"/>
      </w:pPr>
    </w:p>
    <w:p w14:paraId="2E83E2A7" w14:textId="77777777" w:rsidR="00513DED" w:rsidRDefault="00513DED">
      <w:pPr>
        <w:pStyle w:val="Normal1"/>
        <w:spacing w:after="0" w:line="276" w:lineRule="auto"/>
      </w:pPr>
    </w:p>
    <w:p w14:paraId="149AF4D1" w14:textId="77777777" w:rsidR="00513DED" w:rsidRDefault="00CB5559">
      <w:pPr>
        <w:pStyle w:val="Normal1"/>
        <w:spacing w:after="0" w:line="276" w:lineRule="auto"/>
      </w:pPr>
      <w:r>
        <w:rPr>
          <w:rFonts w:ascii="Cambria" w:eastAsia="Cambria" w:hAnsi="Cambria" w:cs="Cambria"/>
        </w:rPr>
        <w:t xml:space="preserve">Name: </w:t>
      </w:r>
      <w:r>
        <w:rPr>
          <w:rFonts w:ascii="Cambria" w:eastAsia="Cambria" w:hAnsi="Cambria" w:cs="Cambria"/>
        </w:rPr>
        <w:tab/>
      </w:r>
      <w:r>
        <w:rPr>
          <w:rFonts w:ascii="Cambria" w:eastAsia="Cambria" w:hAnsi="Cambria" w:cs="Cambria"/>
        </w:rPr>
        <w:tab/>
        <w:t>Hugo ARANCIBIA</w:t>
      </w:r>
    </w:p>
    <w:p w14:paraId="17AEA8BB" w14:textId="77777777" w:rsidR="00513DED" w:rsidRDefault="00CB5559">
      <w:pPr>
        <w:pStyle w:val="Normal1"/>
        <w:spacing w:after="0" w:line="276" w:lineRule="auto"/>
      </w:pPr>
      <w:r>
        <w:rPr>
          <w:rFonts w:ascii="Cambria" w:eastAsia="Cambria" w:hAnsi="Cambria" w:cs="Cambria"/>
        </w:rPr>
        <w:t xml:space="preserve">Organisation: </w:t>
      </w:r>
      <w:r>
        <w:rPr>
          <w:rFonts w:ascii="Cambria" w:eastAsia="Cambria" w:hAnsi="Cambria" w:cs="Cambria"/>
        </w:rPr>
        <w:tab/>
        <w:t>Oceana</w:t>
      </w:r>
    </w:p>
    <w:p w14:paraId="228BC742" w14:textId="77777777" w:rsidR="00513DED" w:rsidRDefault="00CB5559">
      <w:pPr>
        <w:pStyle w:val="Normal1"/>
        <w:spacing w:after="0" w:line="276" w:lineRule="auto"/>
      </w:pPr>
      <w:r>
        <w:rPr>
          <w:rFonts w:ascii="Cambria" w:eastAsia="Cambria" w:hAnsi="Cambria" w:cs="Cambria"/>
        </w:rPr>
        <w:t xml:space="preserve">Address: </w:t>
      </w:r>
      <w:r>
        <w:rPr>
          <w:rFonts w:ascii="Cambria" w:eastAsia="Cambria" w:hAnsi="Cambria" w:cs="Cambria"/>
        </w:rPr>
        <w:tab/>
        <w:t>University de Concepcion, Departmento Oceanografia, P.O. Box 160-C</w:t>
      </w:r>
      <w:r>
        <w:rPr>
          <w:rFonts w:ascii="Cambria" w:eastAsia="Cambria" w:hAnsi="Cambria" w:cs="Cambria"/>
        </w:rPr>
        <w:br/>
        <w:t xml:space="preserve"> </w:t>
      </w:r>
      <w:r>
        <w:rPr>
          <w:rFonts w:ascii="Cambria" w:eastAsia="Cambria" w:hAnsi="Cambria" w:cs="Cambria"/>
        </w:rPr>
        <w:tab/>
      </w:r>
      <w:r>
        <w:rPr>
          <w:rFonts w:ascii="Cambria" w:eastAsia="Cambria" w:hAnsi="Cambria" w:cs="Cambria"/>
        </w:rPr>
        <w:tab/>
        <w:t>Concepcion, Chile</w:t>
      </w:r>
    </w:p>
    <w:p w14:paraId="6767E0BA" w14:textId="77777777" w:rsidR="00513DED" w:rsidRDefault="00CB5559">
      <w:pPr>
        <w:pStyle w:val="Normal1"/>
        <w:spacing w:after="0" w:line="276" w:lineRule="auto"/>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hyperlink r:id="rId83">
        <w:r>
          <w:rPr>
            <w:rFonts w:ascii="Cambria" w:eastAsia="Cambria" w:hAnsi="Cambria" w:cs="Cambria"/>
          </w:rPr>
          <w:t>harancib@udec.cl</w:t>
        </w:r>
      </w:hyperlink>
    </w:p>
    <w:p w14:paraId="172530CA" w14:textId="77777777" w:rsidR="00513DED" w:rsidRDefault="00513DED">
      <w:pPr>
        <w:pStyle w:val="Normal1"/>
        <w:spacing w:after="0"/>
      </w:pPr>
    </w:p>
    <w:p w14:paraId="08CD7A78" w14:textId="77777777" w:rsidR="00513DED" w:rsidRDefault="00513DED">
      <w:pPr>
        <w:pStyle w:val="Normal1"/>
        <w:spacing w:after="0"/>
      </w:pPr>
    </w:p>
    <w:p w14:paraId="4DE01334" w14:textId="77777777" w:rsidR="00513DED" w:rsidRDefault="00CB5559">
      <w:pPr>
        <w:pStyle w:val="Normal1"/>
        <w:spacing w:after="0"/>
      </w:pPr>
      <w:r>
        <w:rPr>
          <w:rFonts w:ascii="Cambria" w:eastAsia="Cambria" w:hAnsi="Cambria" w:cs="Cambria"/>
          <w:b/>
          <w:u w:val="single"/>
        </w:rPr>
        <w:t>SPRFMO SECRETARIAT</w:t>
      </w:r>
    </w:p>
    <w:p w14:paraId="284D81EA" w14:textId="77777777" w:rsidR="00513DED" w:rsidRDefault="00513DED">
      <w:pPr>
        <w:pStyle w:val="Normal1"/>
        <w:spacing w:after="0"/>
      </w:pPr>
    </w:p>
    <w:p w14:paraId="407DC78C" w14:textId="77777777" w:rsidR="00513DED" w:rsidRDefault="00CB5559">
      <w:pPr>
        <w:pStyle w:val="Normal1"/>
        <w:spacing w:after="0"/>
      </w:pPr>
      <w:r>
        <w:rPr>
          <w:rFonts w:ascii="Cambria" w:eastAsia="Cambria" w:hAnsi="Cambria" w:cs="Cambria"/>
        </w:rPr>
        <w:t>Name:</w:t>
      </w:r>
      <w:r>
        <w:rPr>
          <w:rFonts w:ascii="Cambria" w:eastAsia="Cambria" w:hAnsi="Cambria" w:cs="Cambria"/>
        </w:rPr>
        <w:tab/>
      </w:r>
      <w:r>
        <w:rPr>
          <w:rFonts w:ascii="Cambria" w:eastAsia="Cambria" w:hAnsi="Cambria" w:cs="Cambria"/>
        </w:rPr>
        <w:tab/>
        <w:t>Johanne FISCHER</w:t>
      </w:r>
    </w:p>
    <w:p w14:paraId="345D2206" w14:textId="77777777" w:rsidR="00513DED" w:rsidRDefault="00CB5559">
      <w:pPr>
        <w:pStyle w:val="Normal1"/>
        <w:spacing w:after="0"/>
      </w:pPr>
      <w:r>
        <w:rPr>
          <w:rFonts w:ascii="Cambria" w:eastAsia="Cambria" w:hAnsi="Cambria" w:cs="Cambria"/>
        </w:rPr>
        <w:t>Organisation:</w:t>
      </w:r>
      <w:r>
        <w:rPr>
          <w:rFonts w:ascii="Cambria" w:eastAsia="Cambria" w:hAnsi="Cambria" w:cs="Cambria"/>
        </w:rPr>
        <w:tab/>
        <w:t>SPRFMO Secretariat</w:t>
      </w:r>
    </w:p>
    <w:p w14:paraId="73EF03B0" w14:textId="77777777" w:rsidR="00513DED" w:rsidRDefault="00CB5559">
      <w:pPr>
        <w:pStyle w:val="Normal1"/>
        <w:spacing w:after="0"/>
      </w:pPr>
      <w:r>
        <w:rPr>
          <w:rFonts w:ascii="Cambria" w:eastAsia="Cambria" w:hAnsi="Cambria" w:cs="Cambria"/>
        </w:rPr>
        <w:t>Address:</w:t>
      </w:r>
      <w:r>
        <w:rPr>
          <w:rFonts w:ascii="Cambria" w:eastAsia="Cambria" w:hAnsi="Cambria" w:cs="Cambria"/>
        </w:rPr>
        <w:tab/>
        <w:t>PO Box 3797, Wellington 6140, New Zealand</w:t>
      </w:r>
    </w:p>
    <w:p w14:paraId="336D6A07" w14:textId="77777777" w:rsidR="00513DED" w:rsidRDefault="00CB5559">
      <w:pPr>
        <w:pStyle w:val="Normal1"/>
        <w:spacing w:after="0"/>
      </w:pPr>
      <w:r>
        <w:rPr>
          <w:rFonts w:ascii="Cambria" w:eastAsia="Cambria" w:hAnsi="Cambria" w:cs="Cambria"/>
        </w:rPr>
        <w:t>Email:</w:t>
      </w:r>
      <w:r>
        <w:rPr>
          <w:rFonts w:ascii="Cambria" w:eastAsia="Cambria" w:hAnsi="Cambria" w:cs="Cambria"/>
        </w:rPr>
        <w:tab/>
      </w:r>
      <w:r>
        <w:rPr>
          <w:rFonts w:ascii="Cambria" w:eastAsia="Cambria" w:hAnsi="Cambria" w:cs="Cambria"/>
        </w:rPr>
        <w:tab/>
      </w:r>
      <w:hyperlink r:id="rId84">
        <w:r>
          <w:rPr>
            <w:rFonts w:ascii="Cambria" w:eastAsia="Cambria" w:hAnsi="Cambria" w:cs="Cambria"/>
          </w:rPr>
          <w:t>jfischer@sprfmo.int</w:t>
        </w:r>
      </w:hyperlink>
    </w:p>
    <w:p w14:paraId="07896863" w14:textId="77777777" w:rsidR="00513DED" w:rsidRDefault="00513DED">
      <w:pPr>
        <w:pStyle w:val="Normal1"/>
        <w:spacing w:after="0"/>
      </w:pPr>
    </w:p>
    <w:p w14:paraId="3D764946" w14:textId="77777777" w:rsidR="00513DED" w:rsidRDefault="00CB5559">
      <w:pPr>
        <w:pStyle w:val="Normal1"/>
      </w:pPr>
      <w:r>
        <w:br w:type="page"/>
      </w:r>
    </w:p>
    <w:p w14:paraId="7DE5DBD1" w14:textId="77777777" w:rsidR="00513DED" w:rsidRDefault="00513DED">
      <w:pPr>
        <w:pStyle w:val="Normal1"/>
        <w:spacing w:after="200" w:line="276" w:lineRule="auto"/>
      </w:pPr>
    </w:p>
    <w:p w14:paraId="762ED583" w14:textId="77777777" w:rsidR="00513DED" w:rsidRDefault="00CB5559">
      <w:pPr>
        <w:pStyle w:val="Normal1"/>
      </w:pPr>
      <w:r>
        <w:rPr>
          <w:noProof/>
          <w:lang w:val="en-NZ" w:eastAsia="en-NZ"/>
        </w:rPr>
        <w:drawing>
          <wp:inline distT="0" distB="0" distL="0" distR="0" wp14:anchorId="69413087" wp14:editId="04EF8E7A">
            <wp:extent cx="5760720" cy="60571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5"/>
                    <a:srcRect l="1193" t="6385" r="952" b="6385"/>
                    <a:stretch>
                      <a:fillRect/>
                    </a:stretch>
                  </pic:blipFill>
                  <pic:spPr>
                    <a:xfrm>
                      <a:off x="0" y="0"/>
                      <a:ext cx="5760720" cy="605715"/>
                    </a:xfrm>
                    <a:prstGeom prst="rect">
                      <a:avLst/>
                    </a:prstGeom>
                    <a:ln/>
                  </pic:spPr>
                </pic:pic>
              </a:graphicData>
            </a:graphic>
          </wp:inline>
        </w:drawing>
      </w:r>
    </w:p>
    <w:p w14:paraId="7DC1F4B4" w14:textId="77777777" w:rsidR="00513DED" w:rsidRDefault="00CB5559">
      <w:pPr>
        <w:pStyle w:val="Normal1"/>
        <w:spacing w:after="0"/>
        <w:jc w:val="both"/>
      </w:pPr>
      <w:r>
        <w:rPr>
          <w:b/>
          <w:sz w:val="28"/>
        </w:rPr>
        <w:t>Stock status summary for jack mackerel, October 2014</w:t>
      </w:r>
    </w:p>
    <w:p w14:paraId="14D58FCF" w14:textId="77777777" w:rsidR="00513DED" w:rsidRDefault="00CB5559">
      <w:pPr>
        <w:pStyle w:val="Normal1"/>
      </w:pPr>
      <w:r>
        <w:rPr>
          <w:rFonts w:ascii="Verdana" w:eastAsia="Verdana" w:hAnsi="Verdana" w:cs="Verdana"/>
          <w:sz w:val="18"/>
        </w:rPr>
        <w:t xml:space="preserve">Stock: </w:t>
      </w:r>
      <w:r>
        <w:rPr>
          <w:rFonts w:ascii="Verdana" w:eastAsia="Verdana" w:hAnsi="Verdana" w:cs="Verdana"/>
          <w:sz w:val="18"/>
        </w:rPr>
        <w:tab/>
      </w:r>
      <w:r>
        <w:rPr>
          <w:rFonts w:ascii="Verdana" w:eastAsia="Verdana" w:hAnsi="Verdana" w:cs="Verdana"/>
          <w:sz w:val="18"/>
        </w:rPr>
        <w:tab/>
        <w:t>Jack Mackerel (</w:t>
      </w:r>
      <w:r>
        <w:rPr>
          <w:rFonts w:ascii="Verdana" w:eastAsia="Verdana" w:hAnsi="Verdana" w:cs="Verdana"/>
          <w:i/>
          <w:sz w:val="18"/>
        </w:rPr>
        <w:t>Trachurus murphyi</w:t>
      </w:r>
      <w:r>
        <w:rPr>
          <w:rFonts w:ascii="Verdana" w:eastAsia="Verdana" w:hAnsi="Verdana" w:cs="Verdana"/>
          <w:sz w:val="18"/>
        </w:rPr>
        <w:t>)</w:t>
      </w:r>
      <w:r>
        <w:rPr>
          <w:rFonts w:ascii="Verdana" w:eastAsia="Verdana" w:hAnsi="Verdana" w:cs="Verdana"/>
          <w:sz w:val="18"/>
        </w:rPr>
        <w:br/>
        <w:t xml:space="preserve">Region: </w:t>
      </w:r>
      <w:r>
        <w:rPr>
          <w:rFonts w:ascii="Verdana" w:eastAsia="Verdana" w:hAnsi="Verdana" w:cs="Verdana"/>
          <w:sz w:val="18"/>
        </w:rPr>
        <w:tab/>
        <w:t>Southeast Pacific</w:t>
      </w:r>
    </w:p>
    <w:p w14:paraId="5FFAB9C3" w14:textId="77777777" w:rsidR="00513DED" w:rsidRDefault="00CB5559">
      <w:pPr>
        <w:pStyle w:val="Normal1"/>
      </w:pPr>
      <w:r>
        <w:rPr>
          <w:i/>
          <w:sz w:val="24"/>
        </w:rPr>
        <w:t>Advice for 2015</w:t>
      </w:r>
    </w:p>
    <w:p w14:paraId="30B54535" w14:textId="77777777" w:rsidR="00513DED" w:rsidRDefault="00CB5559">
      <w:pPr>
        <w:pStyle w:val="Normal1"/>
      </w:pPr>
      <w:r>
        <w:rPr>
          <w:rFonts w:ascii="Verdana" w:eastAsia="Verdana" w:hAnsi="Verdana" w:cs="Verdana"/>
          <w:sz w:val="18"/>
        </w:rPr>
        <w:t>The SPRFMO Science Committee advises to maintain 2015 catches at or below 460 000t.</w:t>
      </w:r>
    </w:p>
    <w:p w14:paraId="352CD427" w14:textId="77777777" w:rsidR="00513DED" w:rsidRDefault="00CB5559">
      <w:pPr>
        <w:pStyle w:val="Normal1"/>
      </w:pPr>
      <w:r>
        <w:rPr>
          <w:i/>
          <w:sz w:val="24"/>
        </w:rPr>
        <w:t>Stock status</w:t>
      </w:r>
    </w:p>
    <w:tbl>
      <w:tblPr>
        <w:tblStyle w:val="a"/>
        <w:tblW w:w="8909" w:type="dxa"/>
        <w:tblBorders>
          <w:top w:val="single" w:sz="8" w:space="0" w:color="000000"/>
          <w:bottom w:val="single" w:sz="8" w:space="0" w:color="000000"/>
        </w:tblBorders>
        <w:tblLayout w:type="fixed"/>
        <w:tblLook w:val="04A0" w:firstRow="1" w:lastRow="0" w:firstColumn="1" w:lastColumn="0" w:noHBand="0" w:noVBand="1"/>
      </w:tblPr>
      <w:tblGrid>
        <w:gridCol w:w="2617"/>
        <w:gridCol w:w="1534"/>
        <w:gridCol w:w="1586"/>
        <w:gridCol w:w="1588"/>
        <w:gridCol w:w="1584"/>
      </w:tblGrid>
      <w:tr w:rsidR="00513DED" w14:paraId="51E87637" w14:textId="77777777" w:rsidTr="00513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7" w:type="dxa"/>
            <w:tcBorders>
              <w:bottom w:val="dotted" w:sz="4" w:space="0" w:color="000000"/>
              <w:right w:val="dotted" w:sz="4" w:space="0" w:color="000000"/>
            </w:tcBorders>
            <w:shd w:val="clear" w:color="auto" w:fill="FFFFFF"/>
            <w:vAlign w:val="center"/>
          </w:tcPr>
          <w:p w14:paraId="13D3A41A" w14:textId="77777777" w:rsidR="00513DED" w:rsidRDefault="00513DED">
            <w:pPr>
              <w:pStyle w:val="Normal1"/>
            </w:pPr>
          </w:p>
        </w:tc>
        <w:tc>
          <w:tcPr>
            <w:tcW w:w="1534" w:type="dxa"/>
            <w:tcBorders>
              <w:left w:val="dotted" w:sz="4" w:space="0" w:color="000000"/>
              <w:bottom w:val="dotted" w:sz="4" w:space="0" w:color="000000"/>
            </w:tcBorders>
            <w:shd w:val="clear" w:color="auto" w:fill="FFFFFF"/>
            <w:vAlign w:val="center"/>
          </w:tcPr>
          <w:p w14:paraId="394B3B4F" w14:textId="77777777" w:rsidR="00513DED" w:rsidRDefault="00513DED">
            <w:pPr>
              <w:pStyle w:val="Normal1"/>
              <w:cnfStyle w:val="100000000000" w:firstRow="1" w:lastRow="0" w:firstColumn="0" w:lastColumn="0" w:oddVBand="0" w:evenVBand="0" w:oddHBand="0" w:evenHBand="0" w:firstRowFirstColumn="0" w:firstRowLastColumn="0" w:lastRowFirstColumn="0" w:lastRowLastColumn="0"/>
            </w:pPr>
          </w:p>
        </w:tc>
        <w:tc>
          <w:tcPr>
            <w:tcW w:w="1586" w:type="dxa"/>
            <w:tcBorders>
              <w:left w:val="dotted" w:sz="4" w:space="0" w:color="000000"/>
              <w:bottom w:val="dotted" w:sz="4" w:space="0" w:color="000000"/>
              <w:right w:val="dotted" w:sz="4" w:space="0" w:color="000000"/>
            </w:tcBorders>
            <w:shd w:val="clear" w:color="auto" w:fill="FFFFFF"/>
            <w:vAlign w:val="center"/>
          </w:tcPr>
          <w:p w14:paraId="162F1294" w14:textId="77777777" w:rsidR="00513DED" w:rsidRDefault="00CB5559">
            <w:pPr>
              <w:pStyle w:val="Normal1"/>
              <w:cnfStyle w:val="100000000000" w:firstRow="1" w:lastRow="0" w:firstColumn="0" w:lastColumn="0" w:oddVBand="0" w:evenVBand="0" w:oddHBand="0" w:evenHBand="0" w:firstRowFirstColumn="0" w:firstRowLastColumn="0" w:lastRowFirstColumn="0" w:lastRowLastColumn="0"/>
            </w:pPr>
            <w:r>
              <w:rPr>
                <w:rFonts w:ascii="Verdana" w:eastAsia="Verdana" w:hAnsi="Verdana" w:cs="Verdana"/>
                <w:sz w:val="18"/>
              </w:rPr>
              <w:t>2012</w:t>
            </w:r>
          </w:p>
        </w:tc>
        <w:tc>
          <w:tcPr>
            <w:tcW w:w="1588" w:type="dxa"/>
            <w:tcBorders>
              <w:left w:val="dotted" w:sz="4" w:space="0" w:color="000000"/>
              <w:bottom w:val="dotted" w:sz="4" w:space="0" w:color="000000"/>
              <w:right w:val="dotted" w:sz="4" w:space="0" w:color="000000"/>
            </w:tcBorders>
            <w:shd w:val="clear" w:color="auto" w:fill="FFFFFF"/>
            <w:vAlign w:val="center"/>
          </w:tcPr>
          <w:p w14:paraId="26E8792E" w14:textId="77777777" w:rsidR="00513DED" w:rsidRDefault="00CB5559">
            <w:pPr>
              <w:pStyle w:val="Normal1"/>
              <w:cnfStyle w:val="100000000000" w:firstRow="1" w:lastRow="0" w:firstColumn="0" w:lastColumn="0" w:oddVBand="0" w:evenVBand="0" w:oddHBand="0" w:evenHBand="0" w:firstRowFirstColumn="0" w:firstRowLastColumn="0" w:lastRowFirstColumn="0" w:lastRowLastColumn="0"/>
            </w:pPr>
            <w:r>
              <w:rPr>
                <w:rFonts w:ascii="Verdana" w:eastAsia="Verdana" w:hAnsi="Verdana" w:cs="Verdana"/>
                <w:sz w:val="18"/>
              </w:rPr>
              <w:t>2013</w:t>
            </w:r>
          </w:p>
        </w:tc>
        <w:tc>
          <w:tcPr>
            <w:tcW w:w="1584" w:type="dxa"/>
            <w:tcBorders>
              <w:left w:val="dotted" w:sz="4" w:space="0" w:color="000000"/>
              <w:bottom w:val="dotted" w:sz="4" w:space="0" w:color="000000"/>
            </w:tcBorders>
            <w:shd w:val="clear" w:color="auto" w:fill="FFFFFF"/>
            <w:vAlign w:val="center"/>
          </w:tcPr>
          <w:p w14:paraId="3F7DA324" w14:textId="77777777" w:rsidR="00513DED" w:rsidRDefault="00CB5559">
            <w:pPr>
              <w:pStyle w:val="Normal1"/>
              <w:cnfStyle w:val="100000000000" w:firstRow="1" w:lastRow="0" w:firstColumn="0" w:lastColumn="0" w:oddVBand="0" w:evenVBand="0" w:oddHBand="0" w:evenHBand="0" w:firstRowFirstColumn="0" w:firstRowLastColumn="0" w:lastRowFirstColumn="0" w:lastRowLastColumn="0"/>
            </w:pPr>
            <w:r>
              <w:rPr>
                <w:rFonts w:ascii="Verdana" w:eastAsia="Verdana" w:hAnsi="Verdana" w:cs="Verdana"/>
                <w:sz w:val="18"/>
              </w:rPr>
              <w:t>2014</w:t>
            </w:r>
          </w:p>
        </w:tc>
      </w:tr>
      <w:tr w:rsidR="00513DED" w14:paraId="7EBF7CCF" w14:textId="77777777" w:rsidTr="00513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7" w:type="dxa"/>
            <w:tcBorders>
              <w:top w:val="dotted" w:sz="4" w:space="0" w:color="000000"/>
              <w:right w:val="dotted" w:sz="4" w:space="0" w:color="000000"/>
            </w:tcBorders>
            <w:shd w:val="clear" w:color="auto" w:fill="FFFFFF"/>
            <w:vAlign w:val="center"/>
          </w:tcPr>
          <w:p w14:paraId="5E0C0986" w14:textId="77777777" w:rsidR="00513DED" w:rsidRDefault="00CB5559">
            <w:pPr>
              <w:pStyle w:val="Normal1"/>
            </w:pPr>
            <w:r>
              <w:rPr>
                <w:rFonts w:ascii="Verdana" w:eastAsia="Verdana" w:hAnsi="Verdana" w:cs="Verdana"/>
                <w:sz w:val="18"/>
              </w:rPr>
              <w:t>Fishing mortality in relation to</w:t>
            </w:r>
          </w:p>
        </w:tc>
        <w:tc>
          <w:tcPr>
            <w:tcW w:w="1534" w:type="dxa"/>
            <w:tcBorders>
              <w:top w:val="dotted" w:sz="4" w:space="0" w:color="000000"/>
              <w:left w:val="dotted" w:sz="4" w:space="0" w:color="000000"/>
            </w:tcBorders>
            <w:shd w:val="clear" w:color="auto" w:fill="FFFFFF"/>
            <w:vAlign w:val="center"/>
          </w:tcPr>
          <w:p w14:paraId="0ED648F4" w14:textId="77777777" w:rsidR="00513DED" w:rsidRDefault="00CB5559">
            <w:pPr>
              <w:pStyle w:val="Normal1"/>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sz w:val="18"/>
              </w:rPr>
              <w:t>F</w:t>
            </w:r>
            <w:r>
              <w:rPr>
                <w:rFonts w:ascii="Verdana" w:eastAsia="Verdana" w:hAnsi="Verdana" w:cs="Verdana"/>
                <w:sz w:val="18"/>
                <w:vertAlign w:val="subscript"/>
              </w:rPr>
              <w:t>MSY</w:t>
            </w:r>
          </w:p>
        </w:tc>
        <w:tc>
          <w:tcPr>
            <w:tcW w:w="1586" w:type="dxa"/>
            <w:tcBorders>
              <w:top w:val="dotted" w:sz="4" w:space="0" w:color="000000"/>
              <w:left w:val="dotted" w:sz="4" w:space="0" w:color="000000"/>
              <w:right w:val="dotted" w:sz="4" w:space="0" w:color="000000"/>
            </w:tcBorders>
            <w:shd w:val="clear" w:color="auto" w:fill="B6D7A8"/>
            <w:vAlign w:val="center"/>
          </w:tcPr>
          <w:p w14:paraId="4DB96200" w14:textId="77777777" w:rsidR="00513DED" w:rsidRDefault="00CB5559">
            <w:pPr>
              <w:pStyle w:val="Normal1"/>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sz w:val="18"/>
              </w:rPr>
              <w:t>Below</w:t>
            </w:r>
          </w:p>
        </w:tc>
        <w:tc>
          <w:tcPr>
            <w:tcW w:w="1588" w:type="dxa"/>
            <w:tcBorders>
              <w:top w:val="dotted" w:sz="4" w:space="0" w:color="000000"/>
              <w:left w:val="dotted" w:sz="4" w:space="0" w:color="000000"/>
              <w:right w:val="dotted" w:sz="4" w:space="0" w:color="000000"/>
            </w:tcBorders>
            <w:shd w:val="clear" w:color="auto" w:fill="D7E4BD"/>
            <w:vAlign w:val="center"/>
          </w:tcPr>
          <w:p w14:paraId="5BF17E07" w14:textId="77777777" w:rsidR="00513DED" w:rsidRDefault="00CB5559">
            <w:pPr>
              <w:pStyle w:val="Normal1"/>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sz w:val="18"/>
              </w:rPr>
              <w:t>Below</w:t>
            </w:r>
          </w:p>
        </w:tc>
        <w:tc>
          <w:tcPr>
            <w:tcW w:w="1584" w:type="dxa"/>
            <w:tcBorders>
              <w:top w:val="dotted" w:sz="4" w:space="0" w:color="000000"/>
              <w:left w:val="dotted" w:sz="4" w:space="0" w:color="000000"/>
            </w:tcBorders>
            <w:shd w:val="clear" w:color="auto" w:fill="D7E4BD"/>
            <w:vAlign w:val="center"/>
          </w:tcPr>
          <w:p w14:paraId="5A7CBF30" w14:textId="77777777" w:rsidR="00513DED" w:rsidRDefault="00CB5559">
            <w:pPr>
              <w:pStyle w:val="Normal1"/>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sz w:val="18"/>
              </w:rPr>
              <w:t>Below</w:t>
            </w:r>
          </w:p>
        </w:tc>
      </w:tr>
      <w:tr w:rsidR="00513DED" w14:paraId="3ABB1B25" w14:textId="77777777" w:rsidTr="00513DED">
        <w:tc>
          <w:tcPr>
            <w:cnfStyle w:val="001000000000" w:firstRow="0" w:lastRow="0" w:firstColumn="1" w:lastColumn="0" w:oddVBand="0" w:evenVBand="0" w:oddHBand="0" w:evenHBand="0" w:firstRowFirstColumn="0" w:firstRowLastColumn="0" w:lastRowFirstColumn="0" w:lastRowLastColumn="0"/>
            <w:tcW w:w="2617" w:type="dxa"/>
            <w:tcBorders>
              <w:right w:val="dotted" w:sz="4" w:space="0" w:color="000000"/>
            </w:tcBorders>
            <w:shd w:val="clear" w:color="auto" w:fill="FFFFFF"/>
            <w:vAlign w:val="center"/>
          </w:tcPr>
          <w:p w14:paraId="13241261" w14:textId="77777777" w:rsidR="00513DED" w:rsidRDefault="00513DED">
            <w:pPr>
              <w:pStyle w:val="Normal1"/>
            </w:pPr>
          </w:p>
        </w:tc>
        <w:tc>
          <w:tcPr>
            <w:tcW w:w="1534" w:type="dxa"/>
            <w:tcBorders>
              <w:left w:val="dotted" w:sz="4" w:space="0" w:color="000000"/>
            </w:tcBorders>
            <w:shd w:val="clear" w:color="auto" w:fill="FFFFFF"/>
            <w:vAlign w:val="center"/>
          </w:tcPr>
          <w:p w14:paraId="69E1CC68" w14:textId="77777777" w:rsidR="00513DED" w:rsidRDefault="00513DED">
            <w:pPr>
              <w:pStyle w:val="Normal1"/>
              <w:cnfStyle w:val="000000000000" w:firstRow="0" w:lastRow="0" w:firstColumn="0" w:lastColumn="0" w:oddVBand="0" w:evenVBand="0" w:oddHBand="0" w:evenHBand="0" w:firstRowFirstColumn="0" w:firstRowLastColumn="0" w:lastRowFirstColumn="0" w:lastRowLastColumn="0"/>
            </w:pPr>
          </w:p>
        </w:tc>
        <w:tc>
          <w:tcPr>
            <w:tcW w:w="1586" w:type="dxa"/>
            <w:tcBorders>
              <w:left w:val="dotted" w:sz="4" w:space="0" w:color="000000"/>
              <w:right w:val="dotted" w:sz="4" w:space="0" w:color="000000"/>
            </w:tcBorders>
            <w:shd w:val="clear" w:color="auto" w:fill="FFFFFF"/>
            <w:vAlign w:val="center"/>
          </w:tcPr>
          <w:p w14:paraId="166BA254" w14:textId="77777777" w:rsidR="00513DED" w:rsidRDefault="00513DED">
            <w:pPr>
              <w:pStyle w:val="Normal1"/>
              <w:cnfStyle w:val="000000000000" w:firstRow="0" w:lastRow="0" w:firstColumn="0" w:lastColumn="0" w:oddVBand="0" w:evenVBand="0" w:oddHBand="0" w:evenHBand="0" w:firstRowFirstColumn="0" w:firstRowLastColumn="0" w:lastRowFirstColumn="0" w:lastRowLastColumn="0"/>
            </w:pPr>
          </w:p>
        </w:tc>
        <w:tc>
          <w:tcPr>
            <w:tcW w:w="1588" w:type="dxa"/>
            <w:tcBorders>
              <w:left w:val="dotted" w:sz="4" w:space="0" w:color="000000"/>
              <w:right w:val="dotted" w:sz="4" w:space="0" w:color="000000"/>
            </w:tcBorders>
            <w:shd w:val="clear" w:color="auto" w:fill="FFFFFF"/>
            <w:vAlign w:val="center"/>
          </w:tcPr>
          <w:p w14:paraId="3A3F1D40" w14:textId="77777777" w:rsidR="00513DED" w:rsidRDefault="00513DED">
            <w:pPr>
              <w:pStyle w:val="Normal1"/>
              <w:cnfStyle w:val="000000000000" w:firstRow="0" w:lastRow="0" w:firstColumn="0" w:lastColumn="0" w:oddVBand="0" w:evenVBand="0" w:oddHBand="0" w:evenHBand="0" w:firstRowFirstColumn="0" w:firstRowLastColumn="0" w:lastRowFirstColumn="0" w:lastRowLastColumn="0"/>
            </w:pPr>
          </w:p>
        </w:tc>
        <w:tc>
          <w:tcPr>
            <w:tcW w:w="1584" w:type="dxa"/>
            <w:tcBorders>
              <w:left w:val="dotted" w:sz="4" w:space="0" w:color="000000"/>
            </w:tcBorders>
            <w:shd w:val="clear" w:color="auto" w:fill="FFFFFF"/>
            <w:vAlign w:val="center"/>
          </w:tcPr>
          <w:p w14:paraId="2251E496" w14:textId="77777777" w:rsidR="00513DED" w:rsidRDefault="00513DED">
            <w:pPr>
              <w:pStyle w:val="Normal1"/>
              <w:cnfStyle w:val="000000000000" w:firstRow="0" w:lastRow="0" w:firstColumn="0" w:lastColumn="0" w:oddVBand="0" w:evenVBand="0" w:oddHBand="0" w:evenHBand="0" w:firstRowFirstColumn="0" w:firstRowLastColumn="0" w:lastRowFirstColumn="0" w:lastRowLastColumn="0"/>
            </w:pPr>
          </w:p>
        </w:tc>
      </w:tr>
      <w:tr w:rsidR="00513DED" w14:paraId="0AC3ED84" w14:textId="77777777" w:rsidTr="00513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000000"/>
            </w:tcBorders>
            <w:shd w:val="clear" w:color="auto" w:fill="FFFFFF"/>
            <w:vAlign w:val="center"/>
          </w:tcPr>
          <w:p w14:paraId="370D2D50" w14:textId="77777777" w:rsidR="00513DED" w:rsidRDefault="00CB5559">
            <w:pPr>
              <w:pStyle w:val="Normal1"/>
            </w:pPr>
            <w:r>
              <w:rPr>
                <w:rFonts w:ascii="Verdana" w:eastAsia="Verdana" w:hAnsi="Verdana" w:cs="Verdana"/>
                <w:sz w:val="18"/>
              </w:rPr>
              <w:t>Spawning stock biomass in relation to</w:t>
            </w:r>
          </w:p>
        </w:tc>
        <w:tc>
          <w:tcPr>
            <w:tcW w:w="1534" w:type="dxa"/>
            <w:tcBorders>
              <w:bottom w:val="single" w:sz="4" w:space="0" w:color="000000"/>
            </w:tcBorders>
            <w:shd w:val="clear" w:color="auto" w:fill="FFFFFF"/>
            <w:vAlign w:val="center"/>
          </w:tcPr>
          <w:p w14:paraId="0F902BDC" w14:textId="77777777" w:rsidR="00513DED" w:rsidRDefault="00CB5559">
            <w:pPr>
              <w:pStyle w:val="Normal1"/>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sz w:val="18"/>
              </w:rPr>
              <w:t>B</w:t>
            </w:r>
            <w:r>
              <w:rPr>
                <w:rFonts w:ascii="Verdana" w:eastAsia="Verdana" w:hAnsi="Verdana" w:cs="Verdana"/>
                <w:sz w:val="18"/>
                <w:vertAlign w:val="subscript"/>
              </w:rPr>
              <w:t>MSY</w:t>
            </w:r>
          </w:p>
        </w:tc>
        <w:tc>
          <w:tcPr>
            <w:tcW w:w="1586" w:type="dxa"/>
            <w:tcBorders>
              <w:bottom w:val="single" w:sz="4" w:space="0" w:color="000000"/>
            </w:tcBorders>
            <w:shd w:val="clear" w:color="auto" w:fill="E6B9B8"/>
            <w:vAlign w:val="center"/>
          </w:tcPr>
          <w:p w14:paraId="28EF4993" w14:textId="77777777" w:rsidR="00513DED" w:rsidRDefault="00CB5559">
            <w:pPr>
              <w:pStyle w:val="Normal1"/>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sz w:val="18"/>
              </w:rPr>
              <w:t>Below</w:t>
            </w:r>
          </w:p>
        </w:tc>
        <w:tc>
          <w:tcPr>
            <w:tcW w:w="1588" w:type="dxa"/>
            <w:tcBorders>
              <w:bottom w:val="single" w:sz="4" w:space="0" w:color="000000"/>
            </w:tcBorders>
            <w:shd w:val="clear" w:color="auto" w:fill="E6B9B8"/>
            <w:vAlign w:val="center"/>
          </w:tcPr>
          <w:p w14:paraId="7EE65E25" w14:textId="77777777" w:rsidR="00513DED" w:rsidRDefault="00CB5559">
            <w:pPr>
              <w:pStyle w:val="Normal1"/>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sz w:val="18"/>
              </w:rPr>
              <w:t>Below</w:t>
            </w:r>
          </w:p>
        </w:tc>
        <w:tc>
          <w:tcPr>
            <w:tcW w:w="1584" w:type="dxa"/>
            <w:tcBorders>
              <w:bottom w:val="single" w:sz="4" w:space="0" w:color="000000"/>
            </w:tcBorders>
            <w:shd w:val="clear" w:color="auto" w:fill="E6B9B8"/>
            <w:vAlign w:val="center"/>
          </w:tcPr>
          <w:p w14:paraId="66B6B829" w14:textId="77777777" w:rsidR="00513DED" w:rsidRDefault="00CB5559">
            <w:pPr>
              <w:pStyle w:val="Normal1"/>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sz w:val="18"/>
              </w:rPr>
              <w:t>Below</w:t>
            </w:r>
          </w:p>
        </w:tc>
      </w:tr>
    </w:tbl>
    <w:p w14:paraId="197B94A8" w14:textId="5089DCC7" w:rsidR="00513DED" w:rsidRDefault="00CB5559">
      <w:pPr>
        <w:pStyle w:val="Normal1"/>
      </w:pPr>
      <w:r>
        <w:tab/>
      </w:r>
    </w:p>
    <w:p w14:paraId="673525D1" w14:textId="77777777" w:rsidR="00CB2B9D" w:rsidRDefault="00CB2B9D">
      <w:pPr>
        <w:pStyle w:val="Normal1"/>
      </w:pPr>
    </w:p>
    <w:p w14:paraId="7CF8AC0C" w14:textId="01F84B10" w:rsidR="00CB2B9D" w:rsidRDefault="00CB2B9D">
      <w:pPr>
        <w:pStyle w:val="Normal1"/>
      </w:pPr>
      <w:r>
        <w:rPr>
          <w:noProof/>
          <w:lang w:val="en-NZ" w:eastAsia="en-NZ"/>
        </w:rPr>
        <w:drawing>
          <wp:inline distT="0" distB="0" distL="0" distR="0" wp14:anchorId="2D645165" wp14:editId="7C936C74">
            <wp:extent cx="4532306" cy="4759827"/>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6">
                      <a:extLst>
                        <a:ext uri="{28A0092B-C50C-407E-A947-70E740481C1C}">
                          <a14:useLocalDpi xmlns:a14="http://schemas.microsoft.com/office/drawing/2010/main" val="0"/>
                        </a:ext>
                      </a:extLst>
                    </a:blip>
                    <a:srcRect l="4780"/>
                    <a:stretch/>
                  </pic:blipFill>
                  <pic:spPr bwMode="auto">
                    <a:xfrm>
                      <a:off x="0" y="0"/>
                      <a:ext cx="4532791" cy="4760336"/>
                    </a:xfrm>
                    <a:prstGeom prst="rect">
                      <a:avLst/>
                    </a:prstGeom>
                    <a:noFill/>
                    <a:ln>
                      <a:noFill/>
                    </a:ln>
                    <a:extLst>
                      <a:ext uri="{53640926-AAD7-44D8-BBD7-CCE9431645EC}">
                        <a14:shadowObscured xmlns:a14="http://schemas.microsoft.com/office/drawing/2010/main"/>
                      </a:ext>
                    </a:extLst>
                  </pic:spPr>
                </pic:pic>
              </a:graphicData>
            </a:graphic>
          </wp:inline>
        </w:drawing>
      </w:r>
    </w:p>
    <w:p w14:paraId="6A1C025B" w14:textId="32A65357" w:rsidR="00513DED" w:rsidRDefault="00CB5559" w:rsidP="00CB2B9D">
      <w:pPr>
        <w:pStyle w:val="Normal1"/>
      </w:pPr>
      <w:r>
        <w:rPr>
          <w:rFonts w:ascii="Verdana" w:eastAsia="Verdana" w:hAnsi="Verdana" w:cs="Verdana"/>
          <w:sz w:val="16"/>
        </w:rPr>
        <w:t xml:space="preserve">Figure 1. Jack Mackerel in the southeast Pacific. Summary of stock assessment. Recruitment is measured in thousands, SSB in thousand tonnes, catch in thousand tonnes and harvest (fishing mortality) as a rate per year. Provisional values for </w:t>
      </w:r>
      <w:r>
        <w:rPr>
          <w:rFonts w:ascii="Verdana" w:eastAsia="Verdana" w:hAnsi="Verdana" w:cs="Verdana"/>
          <w:i/>
          <w:sz w:val="16"/>
        </w:rPr>
        <w:t>F</w:t>
      </w:r>
      <w:r>
        <w:rPr>
          <w:rFonts w:ascii="Verdana" w:eastAsia="Verdana" w:hAnsi="Verdana" w:cs="Verdana"/>
          <w:i/>
          <w:sz w:val="16"/>
          <w:vertAlign w:val="subscript"/>
        </w:rPr>
        <w:t>MSY</w:t>
      </w:r>
      <w:r>
        <w:rPr>
          <w:rFonts w:ascii="Verdana" w:eastAsia="Verdana" w:hAnsi="Verdana" w:cs="Verdana"/>
          <w:sz w:val="16"/>
        </w:rPr>
        <w:t xml:space="preserve"> and </w:t>
      </w:r>
      <w:r>
        <w:rPr>
          <w:rFonts w:ascii="Verdana" w:eastAsia="Verdana" w:hAnsi="Verdana" w:cs="Verdana"/>
          <w:i/>
          <w:sz w:val="16"/>
        </w:rPr>
        <w:t>B</w:t>
      </w:r>
      <w:r>
        <w:rPr>
          <w:rFonts w:ascii="Verdana" w:eastAsia="Verdana" w:hAnsi="Verdana" w:cs="Verdana"/>
          <w:i/>
          <w:sz w:val="16"/>
          <w:vertAlign w:val="subscript"/>
        </w:rPr>
        <w:t>MSY</w:t>
      </w:r>
      <w:r>
        <w:rPr>
          <w:rFonts w:ascii="Verdana" w:eastAsia="Verdana" w:hAnsi="Verdana" w:cs="Verdana"/>
          <w:sz w:val="16"/>
        </w:rPr>
        <w:t xml:space="preserve"> are shown by horizontal dashed lines. </w:t>
      </w:r>
    </w:p>
    <w:p w14:paraId="15DB9745" w14:textId="6D5FEEBE" w:rsidR="00CB2B9D" w:rsidRPr="008B7185" w:rsidRDefault="00CB5559" w:rsidP="00CB2B9D">
      <w:pPr>
        <w:rPr>
          <w:i/>
          <w:sz w:val="24"/>
          <w:szCs w:val="24"/>
        </w:rPr>
      </w:pPr>
      <w:r>
        <w:rPr>
          <w:i/>
          <w:sz w:val="24"/>
        </w:rPr>
        <w:lastRenderedPageBreak/>
        <w:t>Outlook for 2015</w:t>
      </w:r>
      <w:r w:rsidR="00CB2B9D" w:rsidRPr="00CB2B9D">
        <w:rPr>
          <w:i/>
          <w:sz w:val="24"/>
          <w:szCs w:val="24"/>
        </w:rPr>
        <w:t xml:space="preserve"> </w:t>
      </w:r>
    </w:p>
    <w:p w14:paraId="2446F85A" w14:textId="099B2BA0" w:rsidR="00CB2B9D" w:rsidRDefault="00CB2B9D" w:rsidP="00CB2B9D">
      <w:pPr>
        <w:rPr>
          <w:rFonts w:ascii="Verdana" w:hAnsi="Verdana"/>
          <w:sz w:val="18"/>
        </w:rPr>
      </w:pPr>
      <w:r w:rsidRPr="005D0FF8">
        <w:rPr>
          <w:rFonts w:ascii="Verdana" w:hAnsi="Verdana"/>
          <w:sz w:val="18"/>
        </w:rPr>
        <w:t>Constant fishing mortality scenarios were explored at 1</w:t>
      </w:r>
      <w:r>
        <w:rPr>
          <w:rFonts w:ascii="Verdana" w:hAnsi="Verdana"/>
          <w:sz w:val="18"/>
        </w:rPr>
        <w:t>25</w:t>
      </w:r>
      <w:r w:rsidRPr="005D0FF8">
        <w:rPr>
          <w:rFonts w:ascii="Verdana" w:hAnsi="Verdana"/>
          <w:sz w:val="18"/>
        </w:rPr>
        <w:t xml:space="preserve">%, </w:t>
      </w:r>
      <w:r>
        <w:rPr>
          <w:rFonts w:ascii="Verdana" w:hAnsi="Verdana"/>
          <w:sz w:val="18"/>
        </w:rPr>
        <w:t>100</w:t>
      </w:r>
      <w:r w:rsidRPr="005D0FF8">
        <w:rPr>
          <w:rFonts w:ascii="Verdana" w:hAnsi="Verdana"/>
          <w:sz w:val="18"/>
        </w:rPr>
        <w:t xml:space="preserve">%, </w:t>
      </w:r>
      <w:r>
        <w:rPr>
          <w:rFonts w:ascii="Verdana" w:hAnsi="Verdana"/>
          <w:sz w:val="18"/>
        </w:rPr>
        <w:t>75</w:t>
      </w:r>
      <w:r w:rsidRPr="005D0FF8">
        <w:rPr>
          <w:rFonts w:ascii="Verdana" w:hAnsi="Verdana"/>
          <w:sz w:val="18"/>
        </w:rPr>
        <w:t>%,</w:t>
      </w:r>
      <w:r>
        <w:rPr>
          <w:rFonts w:ascii="Verdana" w:hAnsi="Verdana"/>
          <w:sz w:val="18"/>
        </w:rPr>
        <w:t xml:space="preserve"> 50</w:t>
      </w:r>
      <w:r w:rsidRPr="005D0FF8">
        <w:rPr>
          <w:rFonts w:ascii="Verdana" w:hAnsi="Verdana"/>
          <w:sz w:val="18"/>
        </w:rPr>
        <w:t>% and 0% of F</w:t>
      </w:r>
      <w:r>
        <w:rPr>
          <w:rFonts w:ascii="Verdana" w:hAnsi="Verdana"/>
          <w:sz w:val="18"/>
          <w:vertAlign w:val="subscript"/>
        </w:rPr>
        <w:t>2014</w:t>
      </w:r>
      <w:r w:rsidRPr="005D0FF8">
        <w:rPr>
          <w:rFonts w:ascii="Verdana" w:hAnsi="Verdana"/>
          <w:sz w:val="18"/>
        </w:rPr>
        <w:t>.</w:t>
      </w:r>
      <w:r>
        <w:rPr>
          <w:rFonts w:ascii="Verdana" w:hAnsi="Verdana"/>
          <w:sz w:val="18"/>
        </w:rPr>
        <w:t xml:space="preserve"> Advice is based on maintaining the </w:t>
      </w:r>
      <w:r w:rsidRPr="00BF69D1">
        <w:rPr>
          <w:rFonts w:ascii="Verdana" w:hAnsi="Verdana"/>
          <w:sz w:val="18"/>
        </w:rPr>
        <w:t xml:space="preserve">likelihood </w:t>
      </w:r>
      <w:r>
        <w:rPr>
          <w:rFonts w:ascii="Verdana" w:hAnsi="Verdana"/>
          <w:sz w:val="18"/>
        </w:rPr>
        <w:t>of</w:t>
      </w:r>
      <w:r w:rsidRPr="00BF69D1">
        <w:rPr>
          <w:rFonts w:ascii="Verdana" w:hAnsi="Verdana"/>
          <w:sz w:val="18"/>
        </w:rPr>
        <w:t xml:space="preserve"> spawning biomass </w:t>
      </w:r>
      <w:r>
        <w:rPr>
          <w:rFonts w:ascii="Verdana" w:hAnsi="Verdana"/>
          <w:sz w:val="18"/>
        </w:rPr>
        <w:t>to increase (above the 2014 value of 2.37 million t).</w:t>
      </w:r>
    </w:p>
    <w:p w14:paraId="0C7B596A" w14:textId="77777777" w:rsidR="00152EFE" w:rsidRDefault="00152EFE" w:rsidP="00152EFE">
      <w:pPr>
        <w:pStyle w:val="Normal1"/>
        <w:keepNext/>
        <w:keepLines/>
        <w:ind w:left="1108" w:hanging="1166"/>
      </w:pPr>
      <w:r>
        <w:t>Table 1.         Summary results for the near term predictions for models 2.0 and 2.3. Note that “B” in all cases represents thousands of t of spawning stock biomass and B</w:t>
      </w:r>
      <w:r>
        <w:rPr>
          <w:vertAlign w:val="subscript"/>
        </w:rPr>
        <w:t>MSY</w:t>
      </w:r>
      <w:r>
        <w:t xml:space="preserve"> is provisionally taken to be 5.5 million t of spawning biomass in all cases.</w:t>
      </w:r>
    </w:p>
    <w:tbl>
      <w:tblPr>
        <w:tblW w:w="0" w:type="auto"/>
        <w:jc w:val="center"/>
        <w:tblCellMar>
          <w:left w:w="43" w:type="dxa"/>
          <w:right w:w="43" w:type="dxa"/>
        </w:tblCellMar>
        <w:tblLook w:val="04A0" w:firstRow="1" w:lastRow="0" w:firstColumn="1" w:lastColumn="0" w:noHBand="0" w:noVBand="1"/>
      </w:tblPr>
      <w:tblGrid>
        <w:gridCol w:w="1110"/>
        <w:gridCol w:w="593"/>
        <w:gridCol w:w="1227"/>
        <w:gridCol w:w="824"/>
        <w:gridCol w:w="824"/>
        <w:gridCol w:w="93"/>
        <w:gridCol w:w="92"/>
        <w:gridCol w:w="92"/>
        <w:gridCol w:w="92"/>
      </w:tblGrid>
      <w:tr w:rsidR="00152EFE" w:rsidRPr="0072709A" w14:paraId="777A14A1" w14:textId="77777777" w:rsidTr="00E542C6">
        <w:trPr>
          <w:gridAfter w:val="3"/>
          <w:cantSplit/>
          <w:trHeight w:val="248"/>
          <w:jc w:val="center"/>
        </w:trPr>
        <w:tc>
          <w:tcPr>
            <w:tcW w:w="0" w:type="auto"/>
            <w:gridSpan w:val="6"/>
            <w:tcBorders>
              <w:top w:val="nil"/>
              <w:left w:val="nil"/>
              <w:bottom w:val="double" w:sz="4" w:space="0" w:color="auto"/>
              <w:right w:val="nil"/>
            </w:tcBorders>
            <w:shd w:val="clear" w:color="auto" w:fill="auto"/>
            <w:noWrap/>
            <w:vAlign w:val="bottom"/>
            <w:hideMark/>
          </w:tcPr>
          <w:p w14:paraId="7321EC7B" w14:textId="77777777" w:rsidR="00152EFE" w:rsidRPr="0072709A" w:rsidRDefault="00152EFE" w:rsidP="00E542C6">
            <w:pPr>
              <w:keepNext/>
              <w:spacing w:after="0"/>
              <w:rPr>
                <w:sz w:val="20"/>
              </w:rPr>
            </w:pPr>
            <w:r w:rsidRPr="0072709A">
              <w:rPr>
                <w:b/>
                <w:sz w:val="20"/>
              </w:rPr>
              <w:t xml:space="preserve">Model </w:t>
            </w:r>
            <w:r>
              <w:rPr>
                <w:b/>
                <w:sz w:val="20"/>
              </w:rPr>
              <w:t>2.0,</w:t>
            </w:r>
            <w:r w:rsidRPr="0072709A">
              <w:rPr>
                <w:b/>
                <w:sz w:val="20"/>
              </w:rPr>
              <w:t xml:space="preserve"> </w:t>
            </w:r>
            <w:r>
              <w:rPr>
                <w:b/>
                <w:sz w:val="20"/>
              </w:rPr>
              <w:t>s</w:t>
            </w:r>
            <w:r w:rsidRPr="0072709A">
              <w:rPr>
                <w:b/>
                <w:sz w:val="20"/>
              </w:rPr>
              <w:t>teepness=0.8, recruitment from 1970-201</w:t>
            </w:r>
            <w:r>
              <w:rPr>
                <w:b/>
                <w:sz w:val="20"/>
              </w:rPr>
              <w:t>2</w:t>
            </w:r>
          </w:p>
        </w:tc>
      </w:tr>
      <w:tr w:rsidR="00152EFE" w:rsidRPr="0072709A" w14:paraId="11E317BA" w14:textId="77777777" w:rsidTr="00E542C6">
        <w:trPr>
          <w:gridAfter w:val="4"/>
          <w:cantSplit/>
          <w:trHeight w:val="488"/>
          <w:jc w:val="center"/>
        </w:trPr>
        <w:tc>
          <w:tcPr>
            <w:tcW w:w="0" w:type="auto"/>
            <w:tcBorders>
              <w:top w:val="double" w:sz="4" w:space="0" w:color="auto"/>
              <w:left w:val="nil"/>
              <w:bottom w:val="single" w:sz="4" w:space="0" w:color="auto"/>
              <w:right w:val="nil"/>
            </w:tcBorders>
            <w:shd w:val="clear" w:color="auto" w:fill="auto"/>
            <w:noWrap/>
            <w:vAlign w:val="bottom"/>
            <w:hideMark/>
          </w:tcPr>
          <w:p w14:paraId="21765EB3" w14:textId="77777777" w:rsidR="00152EFE" w:rsidRPr="00E5282C" w:rsidRDefault="00152EFE" w:rsidP="00E542C6">
            <w:pPr>
              <w:keepNext/>
              <w:spacing w:after="0"/>
              <w:jc w:val="center"/>
              <w:rPr>
                <w:sz w:val="20"/>
              </w:rPr>
            </w:pPr>
            <w:r w:rsidRPr="00E5282C">
              <w:rPr>
                <w:sz w:val="20"/>
              </w:rPr>
              <w:t xml:space="preserve">Multiplier of </w:t>
            </w:r>
            <w:r w:rsidRPr="00E5282C">
              <w:rPr>
                <w:sz w:val="20"/>
              </w:rPr>
              <w:br/>
              <w:t>F</w:t>
            </w:r>
            <w:r w:rsidRPr="00E5282C">
              <w:rPr>
                <w:sz w:val="20"/>
                <w:vertAlign w:val="subscript"/>
              </w:rPr>
              <w:t>201</w:t>
            </w:r>
            <w:r>
              <w:rPr>
                <w:sz w:val="20"/>
                <w:vertAlign w:val="subscript"/>
              </w:rPr>
              <w:t>4</w:t>
            </w:r>
          </w:p>
        </w:tc>
        <w:tc>
          <w:tcPr>
            <w:tcW w:w="0" w:type="auto"/>
            <w:tcBorders>
              <w:top w:val="double" w:sz="4" w:space="0" w:color="auto"/>
              <w:left w:val="nil"/>
              <w:bottom w:val="single" w:sz="4" w:space="0" w:color="auto"/>
              <w:right w:val="nil"/>
            </w:tcBorders>
            <w:shd w:val="clear" w:color="auto" w:fill="auto"/>
            <w:noWrap/>
            <w:vAlign w:val="bottom"/>
            <w:hideMark/>
          </w:tcPr>
          <w:p w14:paraId="551BB665" w14:textId="77777777" w:rsidR="00152EFE" w:rsidRPr="0072709A" w:rsidRDefault="00152EFE" w:rsidP="00E542C6">
            <w:pPr>
              <w:keepNext/>
              <w:spacing w:after="0"/>
              <w:jc w:val="right"/>
              <w:rPr>
                <w:sz w:val="20"/>
              </w:rPr>
            </w:pPr>
            <w:r w:rsidRPr="0072709A">
              <w:rPr>
                <w:sz w:val="20"/>
              </w:rPr>
              <w:t>B</w:t>
            </w:r>
            <w:r w:rsidRPr="0072709A">
              <w:rPr>
                <w:sz w:val="20"/>
                <w:vertAlign w:val="subscript"/>
              </w:rPr>
              <w:t>201</w:t>
            </w:r>
            <w:r>
              <w:rPr>
                <w:sz w:val="20"/>
                <w:vertAlign w:val="subscript"/>
              </w:rPr>
              <w:t>6</w:t>
            </w:r>
          </w:p>
        </w:tc>
        <w:tc>
          <w:tcPr>
            <w:tcW w:w="0" w:type="auto"/>
            <w:tcBorders>
              <w:top w:val="double" w:sz="4" w:space="0" w:color="auto"/>
              <w:left w:val="nil"/>
              <w:bottom w:val="single" w:sz="4" w:space="0" w:color="auto"/>
              <w:right w:val="nil"/>
            </w:tcBorders>
            <w:shd w:val="clear" w:color="auto" w:fill="auto"/>
            <w:noWrap/>
            <w:vAlign w:val="bottom"/>
            <w:hideMark/>
          </w:tcPr>
          <w:p w14:paraId="23311177" w14:textId="77777777" w:rsidR="00152EFE" w:rsidRPr="0072709A" w:rsidRDefault="00152EFE" w:rsidP="00E542C6">
            <w:pPr>
              <w:keepNext/>
              <w:spacing w:after="0"/>
              <w:jc w:val="right"/>
              <w:rPr>
                <w:sz w:val="20"/>
              </w:rPr>
            </w:pPr>
            <w:r w:rsidRPr="0072709A">
              <w:rPr>
                <w:sz w:val="20"/>
              </w:rPr>
              <w:t>P(B</w:t>
            </w:r>
            <w:r w:rsidRPr="0072709A">
              <w:rPr>
                <w:sz w:val="20"/>
                <w:vertAlign w:val="subscript"/>
              </w:rPr>
              <w:t>201</w:t>
            </w:r>
            <w:r>
              <w:rPr>
                <w:sz w:val="20"/>
                <w:vertAlign w:val="subscript"/>
              </w:rPr>
              <w:t>6</w:t>
            </w:r>
            <w:r w:rsidRPr="0072709A">
              <w:rPr>
                <w:sz w:val="20"/>
              </w:rPr>
              <w:t xml:space="preserve"> &gt; </w:t>
            </w:r>
            <w:r w:rsidRPr="0072709A">
              <w:rPr>
                <w:i/>
                <w:sz w:val="20"/>
              </w:rPr>
              <w:t>B</w:t>
            </w:r>
            <w:r>
              <w:rPr>
                <w:i/>
                <w:sz w:val="20"/>
                <w:vertAlign w:val="subscript"/>
              </w:rPr>
              <w:t>MSY</w:t>
            </w:r>
            <w:r w:rsidRPr="0072709A">
              <w:rPr>
                <w:sz w:val="20"/>
              </w:rPr>
              <w:t>)</w:t>
            </w:r>
          </w:p>
        </w:tc>
        <w:tc>
          <w:tcPr>
            <w:tcW w:w="0" w:type="auto"/>
            <w:tcBorders>
              <w:top w:val="double" w:sz="4" w:space="0" w:color="auto"/>
              <w:left w:val="nil"/>
              <w:bottom w:val="single" w:sz="4" w:space="0" w:color="auto"/>
              <w:right w:val="nil"/>
            </w:tcBorders>
            <w:shd w:val="clear" w:color="auto" w:fill="auto"/>
            <w:noWrap/>
            <w:vAlign w:val="bottom"/>
            <w:hideMark/>
          </w:tcPr>
          <w:p w14:paraId="2C77D4BA" w14:textId="77777777" w:rsidR="00152EFE" w:rsidRPr="0072709A" w:rsidRDefault="00152EFE" w:rsidP="00E542C6">
            <w:pPr>
              <w:keepNext/>
              <w:spacing w:after="0"/>
              <w:jc w:val="right"/>
              <w:rPr>
                <w:sz w:val="20"/>
              </w:rPr>
            </w:pPr>
            <w:r w:rsidRPr="0072709A">
              <w:rPr>
                <w:sz w:val="20"/>
              </w:rPr>
              <w:t xml:space="preserve">Catch </w:t>
            </w:r>
            <w:r>
              <w:rPr>
                <w:sz w:val="20"/>
              </w:rPr>
              <w:br/>
              <w:t>2015 (kt)</w:t>
            </w:r>
          </w:p>
        </w:tc>
        <w:tc>
          <w:tcPr>
            <w:tcW w:w="0" w:type="auto"/>
            <w:tcBorders>
              <w:top w:val="double" w:sz="4" w:space="0" w:color="auto"/>
              <w:left w:val="nil"/>
              <w:bottom w:val="single" w:sz="4" w:space="0" w:color="auto"/>
              <w:right w:val="nil"/>
            </w:tcBorders>
            <w:shd w:val="clear" w:color="auto" w:fill="auto"/>
            <w:noWrap/>
            <w:vAlign w:val="bottom"/>
            <w:hideMark/>
          </w:tcPr>
          <w:p w14:paraId="0C28BCE3" w14:textId="77777777" w:rsidR="00152EFE" w:rsidRPr="0072709A" w:rsidRDefault="00152EFE" w:rsidP="00E542C6">
            <w:pPr>
              <w:keepNext/>
              <w:spacing w:after="0"/>
              <w:jc w:val="right"/>
              <w:rPr>
                <w:sz w:val="20"/>
              </w:rPr>
            </w:pPr>
            <w:r w:rsidRPr="0072709A">
              <w:rPr>
                <w:sz w:val="20"/>
              </w:rPr>
              <w:t xml:space="preserve">Catch </w:t>
            </w:r>
            <w:r>
              <w:rPr>
                <w:sz w:val="20"/>
              </w:rPr>
              <w:br/>
            </w:r>
            <w:r w:rsidRPr="0072709A">
              <w:rPr>
                <w:sz w:val="20"/>
              </w:rPr>
              <w:t>201</w:t>
            </w:r>
            <w:r>
              <w:rPr>
                <w:sz w:val="20"/>
              </w:rPr>
              <w:t>6 (kt)</w:t>
            </w:r>
          </w:p>
        </w:tc>
      </w:tr>
      <w:tr w:rsidR="00152EFE" w:rsidRPr="0072709A" w14:paraId="63D04380" w14:textId="77777777" w:rsidTr="00E542C6">
        <w:trPr>
          <w:gridAfter w:val="4"/>
          <w:cantSplit/>
          <w:trHeight w:val="276"/>
          <w:jc w:val="center"/>
        </w:trPr>
        <w:tc>
          <w:tcPr>
            <w:tcW w:w="0" w:type="auto"/>
            <w:tcBorders>
              <w:top w:val="single" w:sz="4" w:space="0" w:color="auto"/>
              <w:left w:val="nil"/>
              <w:bottom w:val="nil"/>
              <w:right w:val="nil"/>
            </w:tcBorders>
            <w:shd w:val="clear" w:color="auto" w:fill="auto"/>
            <w:noWrap/>
            <w:vAlign w:val="bottom"/>
            <w:hideMark/>
          </w:tcPr>
          <w:p w14:paraId="5011E414" w14:textId="77777777" w:rsidR="00152EFE" w:rsidRPr="006E5612" w:rsidRDefault="00152EFE" w:rsidP="00E542C6">
            <w:pPr>
              <w:keepNext/>
              <w:spacing w:after="0"/>
              <w:jc w:val="center"/>
            </w:pPr>
            <w:r w:rsidRPr="006E5612">
              <w:t>0.00</w:t>
            </w:r>
          </w:p>
        </w:tc>
        <w:tc>
          <w:tcPr>
            <w:tcW w:w="0" w:type="auto"/>
            <w:tcBorders>
              <w:top w:val="single" w:sz="4" w:space="0" w:color="auto"/>
              <w:left w:val="nil"/>
              <w:bottom w:val="nil"/>
              <w:right w:val="nil"/>
            </w:tcBorders>
            <w:shd w:val="clear" w:color="auto" w:fill="auto"/>
            <w:noWrap/>
            <w:vAlign w:val="center"/>
            <w:hideMark/>
          </w:tcPr>
          <w:p w14:paraId="5967C53B" w14:textId="77777777" w:rsidR="00152EFE" w:rsidRPr="006E5612" w:rsidRDefault="00152EFE" w:rsidP="00E542C6">
            <w:pPr>
              <w:keepNext/>
              <w:spacing w:after="0"/>
              <w:jc w:val="right"/>
            </w:pPr>
            <w:r w:rsidRPr="006E5612">
              <w:t>4,569</w:t>
            </w:r>
          </w:p>
        </w:tc>
        <w:tc>
          <w:tcPr>
            <w:tcW w:w="0" w:type="auto"/>
            <w:tcBorders>
              <w:top w:val="single" w:sz="4" w:space="0" w:color="auto"/>
              <w:left w:val="nil"/>
              <w:bottom w:val="nil"/>
              <w:right w:val="nil"/>
            </w:tcBorders>
            <w:shd w:val="clear" w:color="auto" w:fill="auto"/>
            <w:noWrap/>
            <w:vAlign w:val="bottom"/>
            <w:hideMark/>
          </w:tcPr>
          <w:p w14:paraId="7D064CD6" w14:textId="77777777" w:rsidR="00152EFE" w:rsidRPr="006E5612" w:rsidRDefault="00152EFE" w:rsidP="00E542C6">
            <w:pPr>
              <w:keepNext/>
              <w:spacing w:after="0"/>
              <w:jc w:val="right"/>
            </w:pPr>
            <w:r w:rsidRPr="006E5612">
              <w:t>4%</w:t>
            </w:r>
          </w:p>
        </w:tc>
        <w:tc>
          <w:tcPr>
            <w:tcW w:w="0" w:type="auto"/>
            <w:tcBorders>
              <w:top w:val="single" w:sz="4" w:space="0" w:color="auto"/>
              <w:left w:val="nil"/>
              <w:bottom w:val="nil"/>
              <w:right w:val="nil"/>
            </w:tcBorders>
            <w:shd w:val="clear" w:color="auto" w:fill="auto"/>
            <w:noWrap/>
            <w:vAlign w:val="bottom"/>
            <w:hideMark/>
          </w:tcPr>
          <w:p w14:paraId="75BE96DD" w14:textId="77777777" w:rsidR="00152EFE" w:rsidRPr="006E5612" w:rsidRDefault="00152EFE" w:rsidP="00E542C6">
            <w:pPr>
              <w:keepNext/>
              <w:spacing w:after="0"/>
              <w:jc w:val="right"/>
            </w:pPr>
            <w:r w:rsidRPr="006E5612">
              <w:t>0</w:t>
            </w:r>
          </w:p>
        </w:tc>
        <w:tc>
          <w:tcPr>
            <w:tcW w:w="0" w:type="auto"/>
            <w:tcBorders>
              <w:top w:val="single" w:sz="4" w:space="0" w:color="auto"/>
              <w:left w:val="nil"/>
              <w:bottom w:val="nil"/>
              <w:right w:val="nil"/>
            </w:tcBorders>
            <w:shd w:val="clear" w:color="auto" w:fill="auto"/>
            <w:noWrap/>
            <w:vAlign w:val="bottom"/>
            <w:hideMark/>
          </w:tcPr>
          <w:p w14:paraId="2BAE967F" w14:textId="77777777" w:rsidR="00152EFE" w:rsidRPr="006E5612" w:rsidRDefault="00152EFE" w:rsidP="00E542C6">
            <w:pPr>
              <w:keepNext/>
              <w:spacing w:after="0"/>
              <w:jc w:val="right"/>
            </w:pPr>
            <w:r w:rsidRPr="006E5612">
              <w:t>0</w:t>
            </w:r>
          </w:p>
        </w:tc>
      </w:tr>
      <w:tr w:rsidR="00152EFE" w:rsidRPr="0072709A" w14:paraId="1B3C63F6" w14:textId="77777777" w:rsidTr="00E542C6">
        <w:trPr>
          <w:gridAfter w:val="4"/>
          <w:cantSplit/>
          <w:trHeight w:val="267"/>
          <w:jc w:val="center"/>
        </w:trPr>
        <w:tc>
          <w:tcPr>
            <w:tcW w:w="0" w:type="auto"/>
            <w:tcBorders>
              <w:top w:val="nil"/>
              <w:left w:val="nil"/>
              <w:bottom w:val="nil"/>
              <w:right w:val="nil"/>
            </w:tcBorders>
            <w:shd w:val="clear" w:color="auto" w:fill="auto"/>
            <w:noWrap/>
            <w:vAlign w:val="bottom"/>
          </w:tcPr>
          <w:p w14:paraId="47BA7CA3" w14:textId="77777777" w:rsidR="00152EFE" w:rsidRPr="006E5612" w:rsidRDefault="00152EFE" w:rsidP="00E542C6">
            <w:pPr>
              <w:keepNext/>
              <w:spacing w:after="0"/>
              <w:jc w:val="center"/>
            </w:pPr>
            <w:r w:rsidRPr="006E5612">
              <w:t>0.50</w:t>
            </w:r>
          </w:p>
        </w:tc>
        <w:tc>
          <w:tcPr>
            <w:tcW w:w="0" w:type="auto"/>
            <w:tcBorders>
              <w:top w:val="nil"/>
              <w:left w:val="nil"/>
              <w:bottom w:val="nil"/>
              <w:right w:val="nil"/>
            </w:tcBorders>
            <w:shd w:val="clear" w:color="auto" w:fill="auto"/>
            <w:noWrap/>
            <w:vAlign w:val="center"/>
          </w:tcPr>
          <w:p w14:paraId="584C4BB6" w14:textId="77777777" w:rsidR="00152EFE" w:rsidRPr="006E5612" w:rsidRDefault="00152EFE" w:rsidP="00E542C6">
            <w:pPr>
              <w:keepNext/>
              <w:spacing w:after="0"/>
              <w:jc w:val="right"/>
            </w:pPr>
            <w:r w:rsidRPr="006E5612">
              <w:t>4,241</w:t>
            </w:r>
          </w:p>
        </w:tc>
        <w:tc>
          <w:tcPr>
            <w:tcW w:w="0" w:type="auto"/>
            <w:tcBorders>
              <w:top w:val="nil"/>
              <w:left w:val="nil"/>
              <w:bottom w:val="nil"/>
              <w:right w:val="nil"/>
            </w:tcBorders>
            <w:shd w:val="clear" w:color="auto" w:fill="auto"/>
            <w:noWrap/>
            <w:vAlign w:val="bottom"/>
          </w:tcPr>
          <w:p w14:paraId="02015E70" w14:textId="77777777" w:rsidR="00152EFE" w:rsidRPr="006E5612" w:rsidRDefault="00152EFE" w:rsidP="00E542C6">
            <w:pPr>
              <w:keepNext/>
              <w:spacing w:after="0"/>
              <w:jc w:val="right"/>
            </w:pPr>
            <w:r w:rsidRPr="006E5612">
              <w:t>1%</w:t>
            </w:r>
          </w:p>
        </w:tc>
        <w:tc>
          <w:tcPr>
            <w:tcW w:w="0" w:type="auto"/>
            <w:tcBorders>
              <w:top w:val="nil"/>
              <w:left w:val="nil"/>
              <w:bottom w:val="nil"/>
              <w:right w:val="nil"/>
            </w:tcBorders>
            <w:shd w:val="clear" w:color="auto" w:fill="auto"/>
            <w:noWrap/>
            <w:vAlign w:val="bottom"/>
          </w:tcPr>
          <w:p w14:paraId="09908F96" w14:textId="77777777" w:rsidR="00152EFE" w:rsidRPr="006E5612" w:rsidRDefault="00152EFE" w:rsidP="00E542C6">
            <w:pPr>
              <w:keepNext/>
              <w:spacing w:after="0"/>
              <w:jc w:val="right"/>
            </w:pPr>
            <w:r w:rsidRPr="006E5612">
              <w:t>240</w:t>
            </w:r>
          </w:p>
        </w:tc>
        <w:tc>
          <w:tcPr>
            <w:tcW w:w="0" w:type="auto"/>
            <w:tcBorders>
              <w:top w:val="nil"/>
              <w:left w:val="nil"/>
              <w:bottom w:val="nil"/>
              <w:right w:val="nil"/>
            </w:tcBorders>
            <w:shd w:val="clear" w:color="auto" w:fill="auto"/>
            <w:noWrap/>
            <w:vAlign w:val="bottom"/>
          </w:tcPr>
          <w:p w14:paraId="09E11702" w14:textId="77777777" w:rsidR="00152EFE" w:rsidRPr="006E5612" w:rsidRDefault="00152EFE" w:rsidP="00E542C6">
            <w:pPr>
              <w:keepNext/>
              <w:spacing w:after="0"/>
              <w:jc w:val="right"/>
            </w:pPr>
            <w:r w:rsidRPr="006E5612">
              <w:t>300</w:t>
            </w:r>
          </w:p>
        </w:tc>
      </w:tr>
      <w:tr w:rsidR="00152EFE" w:rsidRPr="0072709A" w14:paraId="060FD581" w14:textId="77777777" w:rsidTr="00E542C6">
        <w:trPr>
          <w:gridAfter w:val="4"/>
          <w:cantSplit/>
          <w:trHeight w:val="276"/>
          <w:jc w:val="center"/>
        </w:trPr>
        <w:tc>
          <w:tcPr>
            <w:tcW w:w="0" w:type="auto"/>
            <w:tcBorders>
              <w:top w:val="nil"/>
              <w:left w:val="nil"/>
              <w:bottom w:val="nil"/>
              <w:right w:val="nil"/>
            </w:tcBorders>
            <w:shd w:val="clear" w:color="auto" w:fill="auto"/>
            <w:noWrap/>
            <w:vAlign w:val="bottom"/>
            <w:hideMark/>
          </w:tcPr>
          <w:p w14:paraId="76D3A072" w14:textId="77777777" w:rsidR="00152EFE" w:rsidRPr="006E5612" w:rsidRDefault="00152EFE" w:rsidP="00E542C6">
            <w:pPr>
              <w:keepNext/>
              <w:spacing w:after="0"/>
              <w:jc w:val="center"/>
            </w:pPr>
            <w:r w:rsidRPr="006E5612">
              <w:t>0.75</w:t>
            </w:r>
          </w:p>
        </w:tc>
        <w:tc>
          <w:tcPr>
            <w:tcW w:w="0" w:type="auto"/>
            <w:tcBorders>
              <w:top w:val="nil"/>
              <w:left w:val="nil"/>
              <w:bottom w:val="nil"/>
              <w:right w:val="nil"/>
            </w:tcBorders>
            <w:shd w:val="clear" w:color="auto" w:fill="auto"/>
            <w:noWrap/>
            <w:vAlign w:val="center"/>
            <w:hideMark/>
          </w:tcPr>
          <w:p w14:paraId="2FBF24AF" w14:textId="77777777" w:rsidR="00152EFE" w:rsidRPr="006E5612" w:rsidRDefault="00152EFE" w:rsidP="00E542C6">
            <w:pPr>
              <w:keepNext/>
              <w:spacing w:after="0"/>
              <w:jc w:val="right"/>
            </w:pPr>
            <w:r w:rsidRPr="006E5612">
              <w:t>4,091</w:t>
            </w:r>
          </w:p>
        </w:tc>
        <w:tc>
          <w:tcPr>
            <w:tcW w:w="0" w:type="auto"/>
            <w:tcBorders>
              <w:top w:val="nil"/>
              <w:left w:val="nil"/>
              <w:bottom w:val="nil"/>
              <w:right w:val="nil"/>
            </w:tcBorders>
            <w:shd w:val="clear" w:color="auto" w:fill="auto"/>
            <w:noWrap/>
            <w:vAlign w:val="bottom"/>
            <w:hideMark/>
          </w:tcPr>
          <w:p w14:paraId="52EF1D5F" w14:textId="77777777" w:rsidR="00152EFE" w:rsidRPr="006E5612" w:rsidRDefault="00152EFE" w:rsidP="00E542C6">
            <w:pPr>
              <w:keepNext/>
              <w:spacing w:after="0"/>
              <w:jc w:val="right"/>
            </w:pPr>
            <w:r w:rsidRPr="006E5612">
              <w:t>0%</w:t>
            </w:r>
          </w:p>
        </w:tc>
        <w:tc>
          <w:tcPr>
            <w:tcW w:w="0" w:type="auto"/>
            <w:tcBorders>
              <w:top w:val="nil"/>
              <w:left w:val="nil"/>
              <w:bottom w:val="nil"/>
              <w:right w:val="nil"/>
            </w:tcBorders>
            <w:shd w:val="clear" w:color="auto" w:fill="auto"/>
            <w:noWrap/>
            <w:vAlign w:val="bottom"/>
            <w:hideMark/>
          </w:tcPr>
          <w:p w14:paraId="3A46B083" w14:textId="77777777" w:rsidR="00152EFE" w:rsidRPr="006E5612" w:rsidRDefault="00152EFE" w:rsidP="00E542C6">
            <w:pPr>
              <w:keepNext/>
              <w:spacing w:after="0"/>
              <w:jc w:val="right"/>
            </w:pPr>
            <w:r w:rsidRPr="006E5612">
              <w:t>350</w:t>
            </w:r>
          </w:p>
        </w:tc>
        <w:tc>
          <w:tcPr>
            <w:tcW w:w="0" w:type="auto"/>
            <w:tcBorders>
              <w:top w:val="nil"/>
              <w:left w:val="nil"/>
              <w:bottom w:val="nil"/>
              <w:right w:val="nil"/>
            </w:tcBorders>
            <w:shd w:val="clear" w:color="auto" w:fill="auto"/>
            <w:noWrap/>
            <w:vAlign w:val="bottom"/>
            <w:hideMark/>
          </w:tcPr>
          <w:p w14:paraId="44EE53C0" w14:textId="77777777" w:rsidR="00152EFE" w:rsidRPr="006E5612" w:rsidRDefault="00152EFE" w:rsidP="00E542C6">
            <w:pPr>
              <w:keepNext/>
              <w:spacing w:after="0"/>
              <w:jc w:val="right"/>
            </w:pPr>
            <w:r w:rsidRPr="006E5612">
              <w:t>430</w:t>
            </w:r>
          </w:p>
        </w:tc>
      </w:tr>
      <w:tr w:rsidR="00152EFE" w:rsidRPr="0072709A" w14:paraId="424C7BBB" w14:textId="77777777" w:rsidTr="00E542C6">
        <w:trPr>
          <w:gridAfter w:val="4"/>
          <w:cantSplit/>
          <w:trHeight w:val="267"/>
          <w:jc w:val="center"/>
        </w:trPr>
        <w:tc>
          <w:tcPr>
            <w:tcW w:w="0" w:type="auto"/>
            <w:tcBorders>
              <w:top w:val="nil"/>
              <w:left w:val="nil"/>
              <w:right w:val="nil"/>
            </w:tcBorders>
            <w:shd w:val="clear" w:color="auto" w:fill="auto"/>
            <w:noWrap/>
            <w:vAlign w:val="bottom"/>
            <w:hideMark/>
          </w:tcPr>
          <w:p w14:paraId="287E66CB" w14:textId="77777777" w:rsidR="00152EFE" w:rsidRPr="006E5612" w:rsidRDefault="00152EFE" w:rsidP="00E542C6">
            <w:pPr>
              <w:keepNext/>
              <w:spacing w:after="0"/>
              <w:jc w:val="center"/>
            </w:pPr>
            <w:r w:rsidRPr="006E5612">
              <w:t>1.00</w:t>
            </w:r>
          </w:p>
        </w:tc>
        <w:tc>
          <w:tcPr>
            <w:tcW w:w="0" w:type="auto"/>
            <w:tcBorders>
              <w:top w:val="nil"/>
              <w:left w:val="nil"/>
              <w:right w:val="nil"/>
            </w:tcBorders>
            <w:shd w:val="clear" w:color="auto" w:fill="auto"/>
            <w:noWrap/>
            <w:vAlign w:val="center"/>
            <w:hideMark/>
          </w:tcPr>
          <w:p w14:paraId="143A44AD" w14:textId="77777777" w:rsidR="00152EFE" w:rsidRPr="006E5612" w:rsidRDefault="00152EFE" w:rsidP="00E542C6">
            <w:pPr>
              <w:keepNext/>
              <w:spacing w:after="0"/>
              <w:jc w:val="right"/>
            </w:pPr>
            <w:r w:rsidRPr="006E5612">
              <w:t>3,948</w:t>
            </w:r>
          </w:p>
        </w:tc>
        <w:tc>
          <w:tcPr>
            <w:tcW w:w="0" w:type="auto"/>
            <w:tcBorders>
              <w:top w:val="nil"/>
              <w:left w:val="nil"/>
              <w:right w:val="nil"/>
            </w:tcBorders>
            <w:shd w:val="clear" w:color="auto" w:fill="auto"/>
            <w:noWrap/>
            <w:vAlign w:val="bottom"/>
            <w:hideMark/>
          </w:tcPr>
          <w:p w14:paraId="1A696CE7" w14:textId="77777777" w:rsidR="00152EFE" w:rsidRPr="006E5612" w:rsidRDefault="00152EFE" w:rsidP="00E542C6">
            <w:pPr>
              <w:keepNext/>
              <w:spacing w:after="0"/>
              <w:jc w:val="right"/>
            </w:pPr>
            <w:r w:rsidRPr="006E5612">
              <w:t>0%</w:t>
            </w:r>
          </w:p>
        </w:tc>
        <w:tc>
          <w:tcPr>
            <w:tcW w:w="0" w:type="auto"/>
            <w:tcBorders>
              <w:top w:val="nil"/>
              <w:left w:val="nil"/>
              <w:right w:val="nil"/>
            </w:tcBorders>
            <w:shd w:val="clear" w:color="auto" w:fill="auto"/>
            <w:noWrap/>
            <w:vAlign w:val="bottom"/>
            <w:hideMark/>
          </w:tcPr>
          <w:p w14:paraId="59839B67" w14:textId="77777777" w:rsidR="00152EFE" w:rsidRPr="006E5612" w:rsidRDefault="00152EFE" w:rsidP="00E542C6">
            <w:pPr>
              <w:keepNext/>
              <w:spacing w:after="0"/>
              <w:jc w:val="right"/>
            </w:pPr>
            <w:r w:rsidRPr="006E5612">
              <w:t>460</w:t>
            </w:r>
          </w:p>
        </w:tc>
        <w:tc>
          <w:tcPr>
            <w:tcW w:w="0" w:type="auto"/>
            <w:tcBorders>
              <w:top w:val="nil"/>
              <w:left w:val="nil"/>
              <w:right w:val="nil"/>
            </w:tcBorders>
            <w:shd w:val="clear" w:color="auto" w:fill="auto"/>
            <w:noWrap/>
            <w:vAlign w:val="bottom"/>
            <w:hideMark/>
          </w:tcPr>
          <w:p w14:paraId="28EDB52E" w14:textId="77777777" w:rsidR="00152EFE" w:rsidRPr="006E5612" w:rsidRDefault="00152EFE" w:rsidP="00E542C6">
            <w:pPr>
              <w:keepNext/>
              <w:spacing w:after="0"/>
              <w:jc w:val="right"/>
            </w:pPr>
            <w:r w:rsidRPr="006E5612">
              <w:t>550</w:t>
            </w:r>
          </w:p>
        </w:tc>
      </w:tr>
      <w:tr w:rsidR="00152EFE" w:rsidRPr="0072709A" w14:paraId="680CC523" w14:textId="77777777" w:rsidTr="00E542C6">
        <w:trPr>
          <w:gridAfter w:val="4"/>
          <w:cantSplit/>
          <w:trHeight w:val="276"/>
          <w:jc w:val="center"/>
        </w:trPr>
        <w:tc>
          <w:tcPr>
            <w:tcW w:w="0" w:type="auto"/>
            <w:tcBorders>
              <w:top w:val="nil"/>
              <w:left w:val="nil"/>
              <w:bottom w:val="single" w:sz="4" w:space="0" w:color="auto"/>
              <w:right w:val="nil"/>
            </w:tcBorders>
            <w:shd w:val="clear" w:color="auto" w:fill="auto"/>
            <w:noWrap/>
            <w:vAlign w:val="bottom"/>
            <w:hideMark/>
          </w:tcPr>
          <w:p w14:paraId="0B337C7E" w14:textId="77777777" w:rsidR="00152EFE" w:rsidRPr="006E5612" w:rsidRDefault="00152EFE" w:rsidP="00E542C6">
            <w:pPr>
              <w:keepNext/>
              <w:spacing w:after="0"/>
              <w:jc w:val="center"/>
            </w:pPr>
            <w:r w:rsidRPr="006E5612">
              <w:t>1.25</w:t>
            </w:r>
          </w:p>
        </w:tc>
        <w:tc>
          <w:tcPr>
            <w:tcW w:w="0" w:type="auto"/>
            <w:tcBorders>
              <w:top w:val="nil"/>
              <w:left w:val="nil"/>
              <w:bottom w:val="single" w:sz="4" w:space="0" w:color="auto"/>
              <w:right w:val="nil"/>
            </w:tcBorders>
            <w:shd w:val="clear" w:color="auto" w:fill="auto"/>
            <w:noWrap/>
            <w:vAlign w:val="center"/>
            <w:hideMark/>
          </w:tcPr>
          <w:p w14:paraId="513BB328" w14:textId="77777777" w:rsidR="00152EFE" w:rsidRPr="006E5612" w:rsidRDefault="00152EFE" w:rsidP="00E542C6">
            <w:pPr>
              <w:keepNext/>
              <w:spacing w:after="0"/>
              <w:jc w:val="right"/>
            </w:pPr>
            <w:r w:rsidRPr="006E5612">
              <w:t>3,814</w:t>
            </w:r>
          </w:p>
        </w:tc>
        <w:tc>
          <w:tcPr>
            <w:tcW w:w="0" w:type="auto"/>
            <w:tcBorders>
              <w:top w:val="nil"/>
              <w:left w:val="nil"/>
              <w:bottom w:val="single" w:sz="4" w:space="0" w:color="auto"/>
              <w:right w:val="nil"/>
            </w:tcBorders>
            <w:shd w:val="clear" w:color="auto" w:fill="auto"/>
            <w:noWrap/>
            <w:vAlign w:val="bottom"/>
            <w:hideMark/>
          </w:tcPr>
          <w:p w14:paraId="7A54E702" w14:textId="77777777" w:rsidR="00152EFE" w:rsidRPr="006E5612" w:rsidRDefault="00152EFE" w:rsidP="00E542C6">
            <w:pPr>
              <w:spacing w:after="0"/>
              <w:jc w:val="right"/>
            </w:pPr>
            <w:r w:rsidRPr="006E5612">
              <w:t>0%</w:t>
            </w:r>
          </w:p>
        </w:tc>
        <w:tc>
          <w:tcPr>
            <w:tcW w:w="0" w:type="auto"/>
            <w:tcBorders>
              <w:top w:val="nil"/>
              <w:left w:val="nil"/>
              <w:bottom w:val="single" w:sz="4" w:space="0" w:color="auto"/>
              <w:right w:val="nil"/>
            </w:tcBorders>
            <w:shd w:val="clear" w:color="auto" w:fill="auto"/>
            <w:noWrap/>
            <w:vAlign w:val="bottom"/>
            <w:hideMark/>
          </w:tcPr>
          <w:p w14:paraId="262F43FF" w14:textId="77777777" w:rsidR="00152EFE" w:rsidRPr="006E5612" w:rsidRDefault="00152EFE" w:rsidP="00E542C6">
            <w:pPr>
              <w:keepNext/>
              <w:spacing w:after="0"/>
              <w:jc w:val="right"/>
            </w:pPr>
            <w:r w:rsidRPr="006E5612">
              <w:t>570</w:t>
            </w:r>
          </w:p>
        </w:tc>
        <w:tc>
          <w:tcPr>
            <w:tcW w:w="0" w:type="auto"/>
            <w:tcBorders>
              <w:top w:val="nil"/>
              <w:left w:val="nil"/>
              <w:bottom w:val="single" w:sz="4" w:space="0" w:color="auto"/>
              <w:right w:val="nil"/>
            </w:tcBorders>
            <w:shd w:val="clear" w:color="auto" w:fill="auto"/>
            <w:noWrap/>
            <w:vAlign w:val="bottom"/>
            <w:hideMark/>
          </w:tcPr>
          <w:p w14:paraId="7E50424F" w14:textId="77777777" w:rsidR="00152EFE" w:rsidRPr="006E5612" w:rsidRDefault="00152EFE" w:rsidP="00E542C6">
            <w:pPr>
              <w:keepNext/>
              <w:spacing w:after="0"/>
              <w:jc w:val="right"/>
            </w:pPr>
            <w:r w:rsidRPr="006E5612">
              <w:t>660</w:t>
            </w:r>
          </w:p>
        </w:tc>
      </w:tr>
      <w:tr w:rsidR="00152EFE" w:rsidRPr="0072709A" w14:paraId="09D8AB77" w14:textId="77777777" w:rsidTr="00E542C6">
        <w:trPr>
          <w:cantSplit/>
          <w:jc w:val="center"/>
        </w:trPr>
        <w:tc>
          <w:tcPr>
            <w:tcW w:w="0" w:type="auto"/>
            <w:tcBorders>
              <w:top w:val="single" w:sz="4" w:space="0" w:color="auto"/>
              <w:left w:val="nil"/>
              <w:right w:val="nil"/>
            </w:tcBorders>
            <w:shd w:val="clear" w:color="auto" w:fill="auto"/>
            <w:noWrap/>
            <w:vAlign w:val="bottom"/>
            <w:hideMark/>
          </w:tcPr>
          <w:p w14:paraId="4CF3B40B" w14:textId="77777777" w:rsidR="00152EFE" w:rsidRPr="0072709A" w:rsidRDefault="00152EFE" w:rsidP="00E542C6">
            <w:pPr>
              <w:keepNext/>
              <w:spacing w:after="0"/>
              <w:jc w:val="right"/>
              <w:rPr>
                <w:sz w:val="20"/>
              </w:rPr>
            </w:pPr>
          </w:p>
        </w:tc>
        <w:tc>
          <w:tcPr>
            <w:tcW w:w="0" w:type="auto"/>
            <w:tcBorders>
              <w:top w:val="single" w:sz="4" w:space="0" w:color="auto"/>
              <w:left w:val="nil"/>
              <w:right w:val="nil"/>
            </w:tcBorders>
            <w:shd w:val="clear" w:color="auto" w:fill="auto"/>
            <w:noWrap/>
            <w:vAlign w:val="bottom"/>
            <w:hideMark/>
          </w:tcPr>
          <w:p w14:paraId="3C4EEC27" w14:textId="77777777" w:rsidR="00152EFE" w:rsidRPr="0072709A" w:rsidRDefault="00152EFE" w:rsidP="00E542C6">
            <w:pPr>
              <w:keepNext/>
              <w:spacing w:after="0"/>
              <w:rPr>
                <w:sz w:val="20"/>
              </w:rPr>
            </w:pPr>
          </w:p>
        </w:tc>
        <w:tc>
          <w:tcPr>
            <w:tcW w:w="0" w:type="auto"/>
            <w:tcBorders>
              <w:top w:val="single" w:sz="4" w:space="0" w:color="auto"/>
              <w:left w:val="nil"/>
              <w:right w:val="nil"/>
            </w:tcBorders>
            <w:shd w:val="clear" w:color="auto" w:fill="auto"/>
            <w:noWrap/>
            <w:vAlign w:val="bottom"/>
            <w:hideMark/>
          </w:tcPr>
          <w:p w14:paraId="3AC66C0F" w14:textId="77777777" w:rsidR="00152EFE" w:rsidRPr="0072709A" w:rsidRDefault="00152EFE" w:rsidP="00E542C6">
            <w:pPr>
              <w:keepNext/>
              <w:spacing w:after="0"/>
              <w:rPr>
                <w:sz w:val="20"/>
              </w:rPr>
            </w:pPr>
          </w:p>
        </w:tc>
        <w:tc>
          <w:tcPr>
            <w:tcW w:w="0" w:type="auto"/>
            <w:tcBorders>
              <w:top w:val="single" w:sz="4" w:space="0" w:color="auto"/>
              <w:left w:val="nil"/>
              <w:right w:val="nil"/>
            </w:tcBorders>
            <w:shd w:val="clear" w:color="auto" w:fill="auto"/>
            <w:noWrap/>
            <w:vAlign w:val="bottom"/>
            <w:hideMark/>
          </w:tcPr>
          <w:p w14:paraId="692C57C2" w14:textId="77777777" w:rsidR="00152EFE" w:rsidRPr="0072709A" w:rsidRDefault="00152EFE" w:rsidP="00E542C6">
            <w:pPr>
              <w:keepNext/>
              <w:spacing w:after="0"/>
              <w:rPr>
                <w:sz w:val="20"/>
              </w:rPr>
            </w:pPr>
          </w:p>
        </w:tc>
        <w:tc>
          <w:tcPr>
            <w:tcW w:w="0" w:type="auto"/>
            <w:tcBorders>
              <w:top w:val="single" w:sz="4" w:space="0" w:color="auto"/>
              <w:left w:val="nil"/>
              <w:right w:val="nil"/>
            </w:tcBorders>
            <w:shd w:val="clear" w:color="auto" w:fill="auto"/>
            <w:noWrap/>
            <w:vAlign w:val="bottom"/>
            <w:hideMark/>
          </w:tcPr>
          <w:p w14:paraId="652FA549" w14:textId="77777777" w:rsidR="00152EFE" w:rsidRPr="0072709A" w:rsidRDefault="00152EFE" w:rsidP="00E542C6">
            <w:pPr>
              <w:keepNext/>
              <w:spacing w:after="0"/>
              <w:rPr>
                <w:sz w:val="20"/>
              </w:rPr>
            </w:pPr>
          </w:p>
        </w:tc>
        <w:tc>
          <w:tcPr>
            <w:tcW w:w="0" w:type="auto"/>
            <w:tcBorders>
              <w:top w:val="single" w:sz="4" w:space="0" w:color="auto"/>
              <w:left w:val="nil"/>
              <w:right w:val="nil"/>
            </w:tcBorders>
            <w:shd w:val="clear" w:color="auto" w:fill="auto"/>
            <w:noWrap/>
            <w:vAlign w:val="bottom"/>
            <w:hideMark/>
          </w:tcPr>
          <w:p w14:paraId="6FE4CC5D" w14:textId="77777777" w:rsidR="00152EFE" w:rsidRPr="0072709A" w:rsidRDefault="00152EFE" w:rsidP="00E542C6">
            <w:pPr>
              <w:keepNext/>
              <w:spacing w:after="0"/>
              <w:rPr>
                <w:sz w:val="20"/>
              </w:rPr>
            </w:pPr>
          </w:p>
        </w:tc>
        <w:tc>
          <w:tcPr>
            <w:tcW w:w="0" w:type="auto"/>
            <w:tcBorders>
              <w:top w:val="single" w:sz="4" w:space="0" w:color="auto"/>
              <w:left w:val="nil"/>
              <w:right w:val="nil"/>
            </w:tcBorders>
            <w:shd w:val="clear" w:color="auto" w:fill="auto"/>
            <w:noWrap/>
            <w:vAlign w:val="bottom"/>
            <w:hideMark/>
          </w:tcPr>
          <w:p w14:paraId="37810CBD" w14:textId="77777777" w:rsidR="00152EFE" w:rsidRPr="0072709A" w:rsidRDefault="00152EFE" w:rsidP="00E542C6">
            <w:pPr>
              <w:keepNext/>
              <w:spacing w:after="0"/>
              <w:rPr>
                <w:sz w:val="20"/>
              </w:rPr>
            </w:pPr>
          </w:p>
        </w:tc>
        <w:tc>
          <w:tcPr>
            <w:tcW w:w="0" w:type="auto"/>
            <w:tcBorders>
              <w:top w:val="single" w:sz="4" w:space="0" w:color="auto"/>
              <w:left w:val="nil"/>
              <w:right w:val="nil"/>
            </w:tcBorders>
            <w:shd w:val="clear" w:color="auto" w:fill="auto"/>
            <w:noWrap/>
            <w:vAlign w:val="bottom"/>
            <w:hideMark/>
          </w:tcPr>
          <w:p w14:paraId="6CD2795C" w14:textId="77777777" w:rsidR="00152EFE" w:rsidRPr="0072709A" w:rsidRDefault="00152EFE" w:rsidP="00E542C6">
            <w:pPr>
              <w:keepNext/>
              <w:spacing w:after="0"/>
              <w:rPr>
                <w:sz w:val="20"/>
              </w:rPr>
            </w:pPr>
          </w:p>
        </w:tc>
        <w:tc>
          <w:tcPr>
            <w:tcW w:w="0" w:type="auto"/>
            <w:tcBorders>
              <w:top w:val="single" w:sz="4" w:space="0" w:color="auto"/>
              <w:left w:val="nil"/>
              <w:right w:val="nil"/>
            </w:tcBorders>
            <w:shd w:val="clear" w:color="auto" w:fill="auto"/>
            <w:noWrap/>
            <w:vAlign w:val="bottom"/>
            <w:hideMark/>
          </w:tcPr>
          <w:p w14:paraId="6186C24B" w14:textId="77777777" w:rsidR="00152EFE" w:rsidRPr="0072709A" w:rsidRDefault="00152EFE" w:rsidP="00E542C6">
            <w:pPr>
              <w:keepNext/>
              <w:spacing w:after="0"/>
              <w:rPr>
                <w:sz w:val="20"/>
              </w:rPr>
            </w:pPr>
          </w:p>
        </w:tc>
      </w:tr>
      <w:tr w:rsidR="00152EFE" w:rsidRPr="0072709A" w14:paraId="42374EA9" w14:textId="77777777" w:rsidTr="00E542C6">
        <w:trPr>
          <w:gridAfter w:val="2"/>
          <w:cantSplit/>
          <w:trHeight w:val="248"/>
          <w:jc w:val="center"/>
        </w:trPr>
        <w:tc>
          <w:tcPr>
            <w:tcW w:w="0" w:type="auto"/>
            <w:gridSpan w:val="7"/>
            <w:tcBorders>
              <w:top w:val="nil"/>
              <w:left w:val="nil"/>
              <w:bottom w:val="double" w:sz="4" w:space="0" w:color="auto"/>
              <w:right w:val="nil"/>
            </w:tcBorders>
            <w:shd w:val="clear" w:color="auto" w:fill="auto"/>
            <w:noWrap/>
            <w:vAlign w:val="bottom"/>
            <w:hideMark/>
          </w:tcPr>
          <w:p w14:paraId="58369D24" w14:textId="77777777" w:rsidR="00152EFE" w:rsidRPr="0072709A" w:rsidRDefault="00152EFE" w:rsidP="00E542C6">
            <w:pPr>
              <w:keepNext/>
              <w:spacing w:after="0"/>
              <w:rPr>
                <w:sz w:val="20"/>
              </w:rPr>
            </w:pPr>
            <w:r w:rsidRPr="0072709A">
              <w:rPr>
                <w:b/>
                <w:sz w:val="20"/>
              </w:rPr>
              <w:t xml:space="preserve">Model </w:t>
            </w:r>
            <w:r>
              <w:rPr>
                <w:b/>
                <w:sz w:val="20"/>
              </w:rPr>
              <w:t>2.3,</w:t>
            </w:r>
            <w:r w:rsidRPr="0072709A">
              <w:rPr>
                <w:b/>
                <w:sz w:val="20"/>
              </w:rPr>
              <w:t xml:space="preserve"> </w:t>
            </w:r>
            <w:r>
              <w:rPr>
                <w:b/>
                <w:sz w:val="20"/>
              </w:rPr>
              <w:t>s</w:t>
            </w:r>
            <w:r w:rsidRPr="0072709A">
              <w:rPr>
                <w:b/>
                <w:sz w:val="20"/>
              </w:rPr>
              <w:t xml:space="preserve">teepness=0.65, recruitment from </w:t>
            </w:r>
            <w:r>
              <w:rPr>
                <w:b/>
                <w:sz w:val="20"/>
              </w:rPr>
              <w:t>2000</w:t>
            </w:r>
            <w:r w:rsidRPr="0072709A">
              <w:rPr>
                <w:b/>
                <w:sz w:val="20"/>
              </w:rPr>
              <w:t>-201</w:t>
            </w:r>
            <w:r>
              <w:rPr>
                <w:b/>
                <w:sz w:val="20"/>
              </w:rPr>
              <w:t>2</w:t>
            </w:r>
          </w:p>
        </w:tc>
      </w:tr>
      <w:tr w:rsidR="00152EFE" w:rsidRPr="0072709A" w14:paraId="740A8C18" w14:textId="77777777" w:rsidTr="00E542C6">
        <w:trPr>
          <w:gridAfter w:val="4"/>
          <w:cantSplit/>
          <w:trHeight w:val="497"/>
          <w:jc w:val="center"/>
        </w:trPr>
        <w:tc>
          <w:tcPr>
            <w:tcW w:w="0" w:type="auto"/>
            <w:tcBorders>
              <w:top w:val="double" w:sz="4" w:space="0" w:color="auto"/>
              <w:left w:val="nil"/>
              <w:bottom w:val="single" w:sz="4" w:space="0" w:color="auto"/>
              <w:right w:val="nil"/>
            </w:tcBorders>
            <w:shd w:val="clear" w:color="auto" w:fill="auto"/>
            <w:noWrap/>
            <w:vAlign w:val="bottom"/>
            <w:hideMark/>
          </w:tcPr>
          <w:p w14:paraId="5ED18867" w14:textId="77777777" w:rsidR="00152EFE" w:rsidRPr="0072709A" w:rsidRDefault="00152EFE" w:rsidP="00E542C6">
            <w:pPr>
              <w:keepNext/>
              <w:spacing w:after="0"/>
              <w:jc w:val="center"/>
              <w:rPr>
                <w:sz w:val="20"/>
              </w:rPr>
            </w:pPr>
            <w:r w:rsidRPr="00E5282C">
              <w:rPr>
                <w:sz w:val="20"/>
              </w:rPr>
              <w:t xml:space="preserve">Multiplier of </w:t>
            </w:r>
            <w:r w:rsidRPr="00E5282C">
              <w:rPr>
                <w:sz w:val="20"/>
              </w:rPr>
              <w:br/>
              <w:t>F</w:t>
            </w:r>
            <w:r w:rsidRPr="00E5282C">
              <w:rPr>
                <w:sz w:val="20"/>
                <w:vertAlign w:val="subscript"/>
              </w:rPr>
              <w:t>201</w:t>
            </w:r>
            <w:r>
              <w:rPr>
                <w:sz w:val="20"/>
                <w:vertAlign w:val="subscript"/>
              </w:rPr>
              <w:t>4</w:t>
            </w:r>
          </w:p>
        </w:tc>
        <w:tc>
          <w:tcPr>
            <w:tcW w:w="0" w:type="auto"/>
            <w:tcBorders>
              <w:top w:val="double" w:sz="4" w:space="0" w:color="auto"/>
              <w:left w:val="nil"/>
              <w:bottom w:val="single" w:sz="4" w:space="0" w:color="auto"/>
              <w:right w:val="nil"/>
            </w:tcBorders>
            <w:shd w:val="clear" w:color="auto" w:fill="auto"/>
            <w:noWrap/>
            <w:vAlign w:val="bottom"/>
            <w:hideMark/>
          </w:tcPr>
          <w:p w14:paraId="276ABD8C" w14:textId="77777777" w:rsidR="00152EFE" w:rsidRPr="0072709A" w:rsidRDefault="00152EFE" w:rsidP="00E542C6">
            <w:pPr>
              <w:keepNext/>
              <w:spacing w:after="0"/>
              <w:jc w:val="right"/>
              <w:rPr>
                <w:vanish/>
                <w:sz w:val="20"/>
              </w:rPr>
            </w:pPr>
            <w:r w:rsidRPr="0072709A">
              <w:rPr>
                <w:sz w:val="20"/>
              </w:rPr>
              <w:t>B</w:t>
            </w:r>
            <w:r w:rsidRPr="0072709A">
              <w:rPr>
                <w:sz w:val="20"/>
                <w:vertAlign w:val="subscript"/>
              </w:rPr>
              <w:t>201</w:t>
            </w:r>
            <w:r>
              <w:rPr>
                <w:sz w:val="20"/>
                <w:vertAlign w:val="subscript"/>
              </w:rPr>
              <w:t>6</w:t>
            </w:r>
          </w:p>
        </w:tc>
        <w:tc>
          <w:tcPr>
            <w:tcW w:w="0" w:type="auto"/>
            <w:tcBorders>
              <w:top w:val="double" w:sz="4" w:space="0" w:color="auto"/>
              <w:left w:val="nil"/>
              <w:bottom w:val="single" w:sz="4" w:space="0" w:color="auto"/>
              <w:right w:val="nil"/>
            </w:tcBorders>
            <w:shd w:val="clear" w:color="auto" w:fill="auto"/>
            <w:noWrap/>
            <w:vAlign w:val="bottom"/>
            <w:hideMark/>
          </w:tcPr>
          <w:p w14:paraId="44F66D70" w14:textId="77777777" w:rsidR="00152EFE" w:rsidRPr="0072709A" w:rsidRDefault="00152EFE" w:rsidP="00E542C6">
            <w:pPr>
              <w:keepNext/>
              <w:spacing w:after="0"/>
              <w:jc w:val="right"/>
              <w:rPr>
                <w:vanish/>
                <w:sz w:val="20"/>
              </w:rPr>
            </w:pPr>
            <w:r w:rsidRPr="0072709A">
              <w:rPr>
                <w:sz w:val="20"/>
              </w:rPr>
              <w:t>P(B</w:t>
            </w:r>
            <w:r w:rsidRPr="0072709A">
              <w:rPr>
                <w:sz w:val="20"/>
                <w:vertAlign w:val="subscript"/>
              </w:rPr>
              <w:t>201</w:t>
            </w:r>
            <w:r>
              <w:rPr>
                <w:sz w:val="20"/>
                <w:vertAlign w:val="subscript"/>
              </w:rPr>
              <w:t>6</w:t>
            </w:r>
            <w:r w:rsidRPr="0072709A">
              <w:rPr>
                <w:sz w:val="20"/>
              </w:rPr>
              <w:t xml:space="preserve"> &gt; </w:t>
            </w:r>
            <w:r w:rsidRPr="0072709A">
              <w:rPr>
                <w:i/>
                <w:sz w:val="20"/>
              </w:rPr>
              <w:t>B</w:t>
            </w:r>
            <w:r>
              <w:rPr>
                <w:i/>
                <w:sz w:val="20"/>
                <w:vertAlign w:val="subscript"/>
              </w:rPr>
              <w:t>MSY</w:t>
            </w:r>
            <w:r w:rsidRPr="0072709A">
              <w:rPr>
                <w:sz w:val="20"/>
              </w:rPr>
              <w:t>)</w:t>
            </w:r>
          </w:p>
        </w:tc>
        <w:tc>
          <w:tcPr>
            <w:tcW w:w="0" w:type="auto"/>
            <w:tcBorders>
              <w:top w:val="double" w:sz="4" w:space="0" w:color="auto"/>
              <w:left w:val="nil"/>
              <w:bottom w:val="single" w:sz="4" w:space="0" w:color="auto"/>
              <w:right w:val="nil"/>
            </w:tcBorders>
            <w:shd w:val="clear" w:color="auto" w:fill="auto"/>
            <w:noWrap/>
            <w:vAlign w:val="bottom"/>
            <w:hideMark/>
          </w:tcPr>
          <w:p w14:paraId="3CD149C3" w14:textId="77777777" w:rsidR="00152EFE" w:rsidRPr="0072709A" w:rsidRDefault="00152EFE" w:rsidP="00E542C6">
            <w:pPr>
              <w:keepNext/>
              <w:spacing w:after="0"/>
              <w:jc w:val="right"/>
              <w:rPr>
                <w:sz w:val="20"/>
              </w:rPr>
            </w:pPr>
            <w:r w:rsidRPr="0072709A">
              <w:rPr>
                <w:sz w:val="20"/>
              </w:rPr>
              <w:t xml:space="preserve">Catch </w:t>
            </w:r>
            <w:r>
              <w:rPr>
                <w:sz w:val="20"/>
              </w:rPr>
              <w:br/>
              <w:t>2015 (kt)</w:t>
            </w:r>
          </w:p>
        </w:tc>
        <w:tc>
          <w:tcPr>
            <w:tcW w:w="0" w:type="auto"/>
            <w:tcBorders>
              <w:top w:val="double" w:sz="4" w:space="0" w:color="auto"/>
              <w:left w:val="nil"/>
              <w:bottom w:val="single" w:sz="4" w:space="0" w:color="auto"/>
              <w:right w:val="nil"/>
            </w:tcBorders>
            <w:shd w:val="clear" w:color="auto" w:fill="auto"/>
            <w:noWrap/>
            <w:vAlign w:val="bottom"/>
            <w:hideMark/>
          </w:tcPr>
          <w:p w14:paraId="4407A325" w14:textId="77777777" w:rsidR="00152EFE" w:rsidRPr="0072709A" w:rsidRDefault="00152EFE" w:rsidP="00E542C6">
            <w:pPr>
              <w:keepNext/>
              <w:spacing w:after="0"/>
              <w:jc w:val="right"/>
              <w:rPr>
                <w:sz w:val="20"/>
              </w:rPr>
            </w:pPr>
            <w:r w:rsidRPr="0072709A">
              <w:rPr>
                <w:sz w:val="20"/>
              </w:rPr>
              <w:t xml:space="preserve">Catch </w:t>
            </w:r>
            <w:r>
              <w:rPr>
                <w:sz w:val="20"/>
              </w:rPr>
              <w:br/>
            </w:r>
            <w:r w:rsidRPr="0072709A">
              <w:rPr>
                <w:sz w:val="20"/>
              </w:rPr>
              <w:t>201</w:t>
            </w:r>
            <w:r>
              <w:rPr>
                <w:sz w:val="20"/>
              </w:rPr>
              <w:t>6 (kt)</w:t>
            </w:r>
          </w:p>
        </w:tc>
      </w:tr>
      <w:tr w:rsidR="00152EFE" w:rsidRPr="0072709A" w14:paraId="64FE58A6" w14:textId="77777777" w:rsidTr="00E542C6">
        <w:trPr>
          <w:gridAfter w:val="4"/>
          <w:cantSplit/>
          <w:trHeight w:val="276"/>
          <w:jc w:val="center"/>
        </w:trPr>
        <w:tc>
          <w:tcPr>
            <w:tcW w:w="0" w:type="auto"/>
            <w:tcBorders>
              <w:top w:val="single" w:sz="4" w:space="0" w:color="auto"/>
              <w:left w:val="nil"/>
              <w:bottom w:val="nil"/>
              <w:right w:val="nil"/>
            </w:tcBorders>
            <w:shd w:val="clear" w:color="auto" w:fill="auto"/>
            <w:noWrap/>
            <w:vAlign w:val="bottom"/>
            <w:hideMark/>
          </w:tcPr>
          <w:p w14:paraId="53AD63C3" w14:textId="77777777" w:rsidR="00152EFE" w:rsidRPr="0072709A" w:rsidRDefault="00152EFE" w:rsidP="00E542C6">
            <w:pPr>
              <w:keepNext/>
              <w:spacing w:after="0"/>
              <w:jc w:val="center"/>
              <w:rPr>
                <w:sz w:val="20"/>
              </w:rPr>
            </w:pPr>
            <w:r w:rsidRPr="0072709A">
              <w:rPr>
                <w:sz w:val="20"/>
              </w:rPr>
              <w:t>0.00</w:t>
            </w:r>
          </w:p>
        </w:tc>
        <w:tc>
          <w:tcPr>
            <w:tcW w:w="0" w:type="auto"/>
            <w:tcBorders>
              <w:top w:val="single" w:sz="4" w:space="0" w:color="auto"/>
              <w:left w:val="nil"/>
              <w:bottom w:val="nil"/>
              <w:right w:val="nil"/>
            </w:tcBorders>
            <w:shd w:val="clear" w:color="auto" w:fill="auto"/>
            <w:noWrap/>
            <w:vAlign w:val="center"/>
            <w:hideMark/>
          </w:tcPr>
          <w:p w14:paraId="3DD9112C" w14:textId="77777777" w:rsidR="00152EFE" w:rsidRPr="006E5612" w:rsidRDefault="00152EFE" w:rsidP="00E542C6">
            <w:pPr>
              <w:keepNext/>
              <w:spacing w:after="0"/>
              <w:jc w:val="right"/>
            </w:pPr>
            <w:r w:rsidRPr="006E5612">
              <w:t>4,226</w:t>
            </w:r>
          </w:p>
        </w:tc>
        <w:tc>
          <w:tcPr>
            <w:tcW w:w="0" w:type="auto"/>
            <w:tcBorders>
              <w:top w:val="single" w:sz="4" w:space="0" w:color="auto"/>
              <w:left w:val="nil"/>
              <w:bottom w:val="nil"/>
              <w:right w:val="nil"/>
            </w:tcBorders>
            <w:shd w:val="clear" w:color="auto" w:fill="auto"/>
            <w:noWrap/>
            <w:vAlign w:val="bottom"/>
            <w:hideMark/>
          </w:tcPr>
          <w:p w14:paraId="4B749CF3" w14:textId="77777777" w:rsidR="00152EFE" w:rsidRPr="006E5612" w:rsidRDefault="00152EFE" w:rsidP="00E542C6">
            <w:pPr>
              <w:keepNext/>
              <w:spacing w:after="0"/>
              <w:jc w:val="right"/>
            </w:pPr>
            <w:r w:rsidRPr="006E5612">
              <w:t>1%</w:t>
            </w:r>
          </w:p>
        </w:tc>
        <w:tc>
          <w:tcPr>
            <w:tcW w:w="0" w:type="auto"/>
            <w:tcBorders>
              <w:top w:val="single" w:sz="4" w:space="0" w:color="auto"/>
              <w:left w:val="nil"/>
              <w:bottom w:val="nil"/>
              <w:right w:val="nil"/>
            </w:tcBorders>
            <w:shd w:val="clear" w:color="auto" w:fill="auto"/>
            <w:noWrap/>
            <w:vAlign w:val="bottom"/>
            <w:hideMark/>
          </w:tcPr>
          <w:p w14:paraId="53B5F98E" w14:textId="77777777" w:rsidR="00152EFE" w:rsidRPr="0072709A" w:rsidRDefault="00152EFE" w:rsidP="00E542C6">
            <w:pPr>
              <w:keepNext/>
              <w:spacing w:after="0"/>
              <w:jc w:val="right"/>
              <w:rPr>
                <w:sz w:val="20"/>
              </w:rPr>
            </w:pPr>
            <w:r w:rsidRPr="006E5612">
              <w:t>0</w:t>
            </w:r>
          </w:p>
        </w:tc>
        <w:tc>
          <w:tcPr>
            <w:tcW w:w="0" w:type="auto"/>
            <w:tcBorders>
              <w:top w:val="single" w:sz="4" w:space="0" w:color="auto"/>
              <w:left w:val="nil"/>
              <w:bottom w:val="nil"/>
              <w:right w:val="nil"/>
            </w:tcBorders>
            <w:shd w:val="clear" w:color="auto" w:fill="auto"/>
            <w:noWrap/>
            <w:vAlign w:val="bottom"/>
            <w:hideMark/>
          </w:tcPr>
          <w:p w14:paraId="0733B047" w14:textId="77777777" w:rsidR="00152EFE" w:rsidRPr="0072709A" w:rsidRDefault="00152EFE" w:rsidP="00E542C6">
            <w:pPr>
              <w:keepNext/>
              <w:spacing w:after="0"/>
              <w:jc w:val="right"/>
              <w:rPr>
                <w:sz w:val="20"/>
              </w:rPr>
            </w:pPr>
            <w:r w:rsidRPr="006E5612">
              <w:t>0</w:t>
            </w:r>
          </w:p>
        </w:tc>
      </w:tr>
      <w:tr w:rsidR="00152EFE" w:rsidRPr="0072709A" w14:paraId="303A11B1" w14:textId="77777777" w:rsidTr="00E542C6">
        <w:trPr>
          <w:gridAfter w:val="4"/>
          <w:cantSplit/>
          <w:trHeight w:val="267"/>
          <w:jc w:val="center"/>
        </w:trPr>
        <w:tc>
          <w:tcPr>
            <w:tcW w:w="0" w:type="auto"/>
            <w:tcBorders>
              <w:top w:val="nil"/>
              <w:left w:val="nil"/>
              <w:bottom w:val="nil"/>
              <w:right w:val="nil"/>
            </w:tcBorders>
            <w:shd w:val="clear" w:color="auto" w:fill="auto"/>
            <w:noWrap/>
            <w:vAlign w:val="bottom"/>
          </w:tcPr>
          <w:p w14:paraId="0C9BD5BD" w14:textId="77777777" w:rsidR="00152EFE" w:rsidRPr="0072709A" w:rsidRDefault="00152EFE" w:rsidP="00E542C6">
            <w:pPr>
              <w:keepNext/>
              <w:spacing w:after="0"/>
              <w:jc w:val="center"/>
              <w:rPr>
                <w:sz w:val="20"/>
              </w:rPr>
            </w:pPr>
            <w:r>
              <w:rPr>
                <w:sz w:val="20"/>
              </w:rPr>
              <w:t>0.50</w:t>
            </w:r>
          </w:p>
        </w:tc>
        <w:tc>
          <w:tcPr>
            <w:tcW w:w="0" w:type="auto"/>
            <w:tcBorders>
              <w:top w:val="nil"/>
              <w:left w:val="nil"/>
              <w:bottom w:val="nil"/>
              <w:right w:val="nil"/>
            </w:tcBorders>
            <w:shd w:val="clear" w:color="auto" w:fill="auto"/>
            <w:noWrap/>
            <w:vAlign w:val="center"/>
          </w:tcPr>
          <w:p w14:paraId="516369AF" w14:textId="77777777" w:rsidR="00152EFE" w:rsidRPr="006E5612" w:rsidRDefault="00152EFE" w:rsidP="00E542C6">
            <w:pPr>
              <w:keepNext/>
              <w:spacing w:after="0"/>
              <w:jc w:val="right"/>
            </w:pPr>
            <w:r w:rsidRPr="006E5612">
              <w:t>3,901</w:t>
            </w:r>
          </w:p>
        </w:tc>
        <w:tc>
          <w:tcPr>
            <w:tcW w:w="0" w:type="auto"/>
            <w:tcBorders>
              <w:top w:val="nil"/>
              <w:left w:val="nil"/>
              <w:bottom w:val="nil"/>
              <w:right w:val="nil"/>
            </w:tcBorders>
            <w:shd w:val="clear" w:color="auto" w:fill="auto"/>
            <w:noWrap/>
            <w:vAlign w:val="bottom"/>
          </w:tcPr>
          <w:p w14:paraId="6DDA36FD" w14:textId="77777777" w:rsidR="00152EFE" w:rsidRPr="006E5612" w:rsidRDefault="00152EFE" w:rsidP="00E542C6">
            <w:pPr>
              <w:keepNext/>
              <w:spacing w:after="0"/>
              <w:jc w:val="right"/>
            </w:pPr>
            <w:r w:rsidRPr="006E5612">
              <w:t>0%</w:t>
            </w:r>
          </w:p>
        </w:tc>
        <w:tc>
          <w:tcPr>
            <w:tcW w:w="0" w:type="auto"/>
            <w:tcBorders>
              <w:top w:val="nil"/>
              <w:left w:val="nil"/>
              <w:bottom w:val="nil"/>
              <w:right w:val="nil"/>
            </w:tcBorders>
            <w:shd w:val="clear" w:color="auto" w:fill="auto"/>
            <w:noWrap/>
            <w:vAlign w:val="bottom"/>
          </w:tcPr>
          <w:p w14:paraId="677C6EA3" w14:textId="77777777" w:rsidR="00152EFE" w:rsidRPr="0072709A" w:rsidRDefault="00152EFE" w:rsidP="00E542C6">
            <w:pPr>
              <w:keepNext/>
              <w:spacing w:after="0"/>
              <w:jc w:val="right"/>
              <w:rPr>
                <w:sz w:val="20"/>
              </w:rPr>
            </w:pPr>
            <w:r w:rsidRPr="006E5612">
              <w:t>240</w:t>
            </w:r>
          </w:p>
        </w:tc>
        <w:tc>
          <w:tcPr>
            <w:tcW w:w="0" w:type="auto"/>
            <w:tcBorders>
              <w:top w:val="nil"/>
              <w:left w:val="nil"/>
              <w:bottom w:val="nil"/>
              <w:right w:val="nil"/>
            </w:tcBorders>
            <w:shd w:val="clear" w:color="auto" w:fill="auto"/>
            <w:noWrap/>
            <w:vAlign w:val="bottom"/>
          </w:tcPr>
          <w:p w14:paraId="2BAD3E41" w14:textId="77777777" w:rsidR="00152EFE" w:rsidRPr="0072709A" w:rsidRDefault="00152EFE" w:rsidP="00E542C6">
            <w:pPr>
              <w:keepNext/>
              <w:spacing w:after="0"/>
              <w:jc w:val="right"/>
              <w:rPr>
                <w:sz w:val="20"/>
              </w:rPr>
            </w:pPr>
            <w:r w:rsidRPr="006E5612">
              <w:t>300</w:t>
            </w:r>
          </w:p>
        </w:tc>
      </w:tr>
      <w:tr w:rsidR="00152EFE" w:rsidRPr="0072709A" w14:paraId="5AF85053" w14:textId="77777777" w:rsidTr="00E542C6">
        <w:trPr>
          <w:gridAfter w:val="4"/>
          <w:cantSplit/>
          <w:trHeight w:val="267"/>
          <w:jc w:val="center"/>
        </w:trPr>
        <w:tc>
          <w:tcPr>
            <w:tcW w:w="0" w:type="auto"/>
            <w:tcBorders>
              <w:top w:val="nil"/>
              <w:left w:val="nil"/>
              <w:bottom w:val="nil"/>
              <w:right w:val="nil"/>
            </w:tcBorders>
            <w:shd w:val="clear" w:color="auto" w:fill="auto"/>
            <w:noWrap/>
            <w:vAlign w:val="bottom"/>
            <w:hideMark/>
          </w:tcPr>
          <w:p w14:paraId="3EC5711E" w14:textId="77777777" w:rsidR="00152EFE" w:rsidRPr="0072709A" w:rsidRDefault="00152EFE" w:rsidP="00E542C6">
            <w:pPr>
              <w:keepNext/>
              <w:spacing w:after="0"/>
              <w:jc w:val="center"/>
              <w:rPr>
                <w:sz w:val="20"/>
              </w:rPr>
            </w:pPr>
            <w:r w:rsidRPr="0072709A">
              <w:rPr>
                <w:sz w:val="20"/>
              </w:rPr>
              <w:t>0.75</w:t>
            </w:r>
          </w:p>
        </w:tc>
        <w:tc>
          <w:tcPr>
            <w:tcW w:w="0" w:type="auto"/>
            <w:tcBorders>
              <w:top w:val="nil"/>
              <w:left w:val="nil"/>
              <w:bottom w:val="nil"/>
              <w:right w:val="nil"/>
            </w:tcBorders>
            <w:shd w:val="clear" w:color="auto" w:fill="auto"/>
            <w:noWrap/>
            <w:vAlign w:val="center"/>
            <w:hideMark/>
          </w:tcPr>
          <w:p w14:paraId="3791601E" w14:textId="77777777" w:rsidR="00152EFE" w:rsidRPr="006E5612" w:rsidRDefault="00152EFE" w:rsidP="00E542C6">
            <w:pPr>
              <w:keepNext/>
              <w:spacing w:after="0"/>
              <w:jc w:val="right"/>
            </w:pPr>
            <w:r w:rsidRPr="006E5612">
              <w:t>3,753</w:t>
            </w:r>
          </w:p>
        </w:tc>
        <w:tc>
          <w:tcPr>
            <w:tcW w:w="0" w:type="auto"/>
            <w:tcBorders>
              <w:top w:val="nil"/>
              <w:left w:val="nil"/>
              <w:bottom w:val="nil"/>
              <w:right w:val="nil"/>
            </w:tcBorders>
            <w:shd w:val="clear" w:color="auto" w:fill="auto"/>
            <w:noWrap/>
            <w:vAlign w:val="bottom"/>
            <w:hideMark/>
          </w:tcPr>
          <w:p w14:paraId="5F213F08" w14:textId="77777777" w:rsidR="00152EFE" w:rsidRPr="006E5612" w:rsidRDefault="00152EFE" w:rsidP="00E542C6">
            <w:pPr>
              <w:keepNext/>
              <w:spacing w:after="0"/>
              <w:jc w:val="right"/>
            </w:pPr>
            <w:r w:rsidRPr="006E5612">
              <w:t>0%</w:t>
            </w:r>
          </w:p>
        </w:tc>
        <w:tc>
          <w:tcPr>
            <w:tcW w:w="0" w:type="auto"/>
            <w:tcBorders>
              <w:top w:val="nil"/>
              <w:left w:val="nil"/>
              <w:bottom w:val="nil"/>
              <w:right w:val="nil"/>
            </w:tcBorders>
            <w:shd w:val="clear" w:color="auto" w:fill="auto"/>
            <w:noWrap/>
            <w:vAlign w:val="bottom"/>
            <w:hideMark/>
          </w:tcPr>
          <w:p w14:paraId="197BF179" w14:textId="77777777" w:rsidR="00152EFE" w:rsidRPr="0072709A" w:rsidRDefault="00152EFE" w:rsidP="00E542C6">
            <w:pPr>
              <w:keepNext/>
              <w:spacing w:after="0"/>
              <w:jc w:val="right"/>
              <w:rPr>
                <w:sz w:val="20"/>
              </w:rPr>
            </w:pPr>
            <w:r w:rsidRPr="006E5612">
              <w:t>350</w:t>
            </w:r>
          </w:p>
        </w:tc>
        <w:tc>
          <w:tcPr>
            <w:tcW w:w="0" w:type="auto"/>
            <w:tcBorders>
              <w:top w:val="nil"/>
              <w:left w:val="nil"/>
              <w:bottom w:val="nil"/>
              <w:right w:val="nil"/>
            </w:tcBorders>
            <w:shd w:val="clear" w:color="auto" w:fill="auto"/>
            <w:noWrap/>
            <w:vAlign w:val="bottom"/>
            <w:hideMark/>
          </w:tcPr>
          <w:p w14:paraId="42EB6116" w14:textId="77777777" w:rsidR="00152EFE" w:rsidRPr="0072709A" w:rsidRDefault="00152EFE" w:rsidP="00E542C6">
            <w:pPr>
              <w:keepNext/>
              <w:spacing w:after="0"/>
              <w:jc w:val="right"/>
              <w:rPr>
                <w:sz w:val="20"/>
              </w:rPr>
            </w:pPr>
            <w:r w:rsidRPr="006E5612">
              <w:t>430</w:t>
            </w:r>
          </w:p>
        </w:tc>
      </w:tr>
      <w:tr w:rsidR="00152EFE" w:rsidRPr="0072709A" w14:paraId="70793532" w14:textId="77777777" w:rsidTr="00E542C6">
        <w:trPr>
          <w:gridAfter w:val="4"/>
          <w:cantSplit/>
          <w:trHeight w:val="276"/>
          <w:jc w:val="center"/>
        </w:trPr>
        <w:tc>
          <w:tcPr>
            <w:tcW w:w="0" w:type="auto"/>
            <w:tcBorders>
              <w:top w:val="nil"/>
              <w:left w:val="nil"/>
              <w:right w:val="nil"/>
            </w:tcBorders>
            <w:shd w:val="clear" w:color="auto" w:fill="auto"/>
            <w:noWrap/>
            <w:vAlign w:val="bottom"/>
            <w:hideMark/>
          </w:tcPr>
          <w:p w14:paraId="032E5700" w14:textId="77777777" w:rsidR="00152EFE" w:rsidRPr="0072709A" w:rsidRDefault="00152EFE" w:rsidP="00E542C6">
            <w:pPr>
              <w:keepNext/>
              <w:spacing w:after="0"/>
              <w:jc w:val="center"/>
              <w:rPr>
                <w:sz w:val="20"/>
              </w:rPr>
            </w:pPr>
            <w:r w:rsidRPr="0072709A">
              <w:rPr>
                <w:sz w:val="20"/>
              </w:rPr>
              <w:t>1.00</w:t>
            </w:r>
          </w:p>
        </w:tc>
        <w:tc>
          <w:tcPr>
            <w:tcW w:w="0" w:type="auto"/>
            <w:tcBorders>
              <w:top w:val="nil"/>
              <w:left w:val="nil"/>
              <w:right w:val="nil"/>
            </w:tcBorders>
            <w:shd w:val="clear" w:color="auto" w:fill="auto"/>
            <w:noWrap/>
            <w:vAlign w:val="center"/>
            <w:hideMark/>
          </w:tcPr>
          <w:p w14:paraId="23CC3C1F" w14:textId="77777777" w:rsidR="00152EFE" w:rsidRPr="006E5612" w:rsidRDefault="00152EFE" w:rsidP="00E542C6">
            <w:pPr>
              <w:keepNext/>
              <w:spacing w:after="0"/>
              <w:jc w:val="right"/>
            </w:pPr>
            <w:r w:rsidRPr="006E5612">
              <w:t>3,613</w:t>
            </w:r>
          </w:p>
        </w:tc>
        <w:tc>
          <w:tcPr>
            <w:tcW w:w="0" w:type="auto"/>
            <w:tcBorders>
              <w:top w:val="nil"/>
              <w:left w:val="nil"/>
              <w:right w:val="nil"/>
            </w:tcBorders>
            <w:shd w:val="clear" w:color="auto" w:fill="auto"/>
            <w:noWrap/>
            <w:vAlign w:val="bottom"/>
            <w:hideMark/>
          </w:tcPr>
          <w:p w14:paraId="6D2B2FAD" w14:textId="77777777" w:rsidR="00152EFE" w:rsidRPr="006E5612" w:rsidRDefault="00152EFE" w:rsidP="00E542C6">
            <w:pPr>
              <w:keepNext/>
              <w:spacing w:after="0"/>
              <w:jc w:val="right"/>
            </w:pPr>
            <w:r w:rsidRPr="006E5612">
              <w:t>0%</w:t>
            </w:r>
          </w:p>
        </w:tc>
        <w:tc>
          <w:tcPr>
            <w:tcW w:w="0" w:type="auto"/>
            <w:tcBorders>
              <w:top w:val="nil"/>
              <w:left w:val="nil"/>
              <w:right w:val="nil"/>
            </w:tcBorders>
            <w:shd w:val="clear" w:color="auto" w:fill="auto"/>
            <w:noWrap/>
            <w:vAlign w:val="bottom"/>
            <w:hideMark/>
          </w:tcPr>
          <w:p w14:paraId="2CD0FC74" w14:textId="77777777" w:rsidR="00152EFE" w:rsidRPr="0072709A" w:rsidRDefault="00152EFE" w:rsidP="00E542C6">
            <w:pPr>
              <w:keepNext/>
              <w:spacing w:after="0"/>
              <w:jc w:val="right"/>
              <w:rPr>
                <w:sz w:val="20"/>
              </w:rPr>
            </w:pPr>
            <w:r w:rsidRPr="006E5612">
              <w:t>460</w:t>
            </w:r>
          </w:p>
        </w:tc>
        <w:tc>
          <w:tcPr>
            <w:tcW w:w="0" w:type="auto"/>
            <w:tcBorders>
              <w:top w:val="nil"/>
              <w:left w:val="nil"/>
              <w:right w:val="nil"/>
            </w:tcBorders>
            <w:shd w:val="clear" w:color="auto" w:fill="auto"/>
            <w:noWrap/>
            <w:vAlign w:val="bottom"/>
            <w:hideMark/>
          </w:tcPr>
          <w:p w14:paraId="6871CAAD" w14:textId="77777777" w:rsidR="00152EFE" w:rsidRPr="0072709A" w:rsidRDefault="00152EFE" w:rsidP="00E542C6">
            <w:pPr>
              <w:keepNext/>
              <w:spacing w:after="0"/>
              <w:jc w:val="right"/>
              <w:rPr>
                <w:sz w:val="20"/>
              </w:rPr>
            </w:pPr>
            <w:r w:rsidRPr="006E5612">
              <w:t>550</w:t>
            </w:r>
          </w:p>
        </w:tc>
      </w:tr>
      <w:tr w:rsidR="00152EFE" w:rsidRPr="0072709A" w14:paraId="509D82CC" w14:textId="77777777" w:rsidTr="00E542C6">
        <w:trPr>
          <w:gridAfter w:val="4"/>
          <w:cantSplit/>
          <w:trHeight w:val="267"/>
          <w:jc w:val="center"/>
        </w:trPr>
        <w:tc>
          <w:tcPr>
            <w:tcW w:w="0" w:type="auto"/>
            <w:tcBorders>
              <w:top w:val="nil"/>
              <w:left w:val="nil"/>
              <w:bottom w:val="single" w:sz="4" w:space="0" w:color="auto"/>
              <w:right w:val="nil"/>
            </w:tcBorders>
            <w:shd w:val="clear" w:color="auto" w:fill="auto"/>
            <w:noWrap/>
            <w:vAlign w:val="bottom"/>
            <w:hideMark/>
          </w:tcPr>
          <w:p w14:paraId="74FAC402" w14:textId="77777777" w:rsidR="00152EFE" w:rsidRPr="0072709A" w:rsidRDefault="00152EFE" w:rsidP="00E542C6">
            <w:pPr>
              <w:keepNext/>
              <w:spacing w:after="0"/>
              <w:jc w:val="center"/>
              <w:rPr>
                <w:sz w:val="20"/>
              </w:rPr>
            </w:pPr>
            <w:r w:rsidRPr="0072709A">
              <w:rPr>
                <w:sz w:val="20"/>
              </w:rPr>
              <w:t>1.25</w:t>
            </w:r>
          </w:p>
        </w:tc>
        <w:tc>
          <w:tcPr>
            <w:tcW w:w="0" w:type="auto"/>
            <w:tcBorders>
              <w:top w:val="nil"/>
              <w:left w:val="nil"/>
              <w:bottom w:val="single" w:sz="4" w:space="0" w:color="auto"/>
              <w:right w:val="nil"/>
            </w:tcBorders>
            <w:shd w:val="clear" w:color="auto" w:fill="auto"/>
            <w:noWrap/>
            <w:vAlign w:val="center"/>
            <w:hideMark/>
          </w:tcPr>
          <w:p w14:paraId="533E82E0" w14:textId="77777777" w:rsidR="00152EFE" w:rsidRPr="006E5612" w:rsidRDefault="00152EFE" w:rsidP="00E542C6">
            <w:pPr>
              <w:keepNext/>
              <w:spacing w:after="0"/>
              <w:jc w:val="right"/>
            </w:pPr>
            <w:r w:rsidRPr="006E5612">
              <w:t>3,481</w:t>
            </w:r>
          </w:p>
        </w:tc>
        <w:tc>
          <w:tcPr>
            <w:tcW w:w="0" w:type="auto"/>
            <w:tcBorders>
              <w:top w:val="nil"/>
              <w:left w:val="nil"/>
              <w:bottom w:val="single" w:sz="4" w:space="0" w:color="auto"/>
              <w:right w:val="nil"/>
            </w:tcBorders>
            <w:shd w:val="clear" w:color="auto" w:fill="auto"/>
            <w:noWrap/>
            <w:vAlign w:val="bottom"/>
            <w:hideMark/>
          </w:tcPr>
          <w:p w14:paraId="202FB8D9" w14:textId="77777777" w:rsidR="00152EFE" w:rsidRPr="006E5612" w:rsidRDefault="00152EFE" w:rsidP="00E542C6">
            <w:pPr>
              <w:keepNext/>
              <w:spacing w:after="0"/>
              <w:jc w:val="right"/>
            </w:pPr>
            <w:r w:rsidRPr="006E5612">
              <w:t>0%</w:t>
            </w:r>
          </w:p>
        </w:tc>
        <w:tc>
          <w:tcPr>
            <w:tcW w:w="0" w:type="auto"/>
            <w:tcBorders>
              <w:top w:val="nil"/>
              <w:left w:val="nil"/>
              <w:bottom w:val="single" w:sz="4" w:space="0" w:color="auto"/>
              <w:right w:val="nil"/>
            </w:tcBorders>
            <w:shd w:val="clear" w:color="auto" w:fill="auto"/>
            <w:noWrap/>
            <w:vAlign w:val="bottom"/>
            <w:hideMark/>
          </w:tcPr>
          <w:p w14:paraId="61D31EC4" w14:textId="77777777" w:rsidR="00152EFE" w:rsidRPr="00E5282C" w:rsidRDefault="00152EFE" w:rsidP="00E542C6">
            <w:pPr>
              <w:keepNext/>
              <w:spacing w:after="0"/>
              <w:jc w:val="right"/>
              <w:rPr>
                <w:sz w:val="20"/>
              </w:rPr>
            </w:pPr>
            <w:r w:rsidRPr="006E5612">
              <w:t>570</w:t>
            </w:r>
          </w:p>
        </w:tc>
        <w:tc>
          <w:tcPr>
            <w:tcW w:w="0" w:type="auto"/>
            <w:tcBorders>
              <w:top w:val="nil"/>
              <w:left w:val="nil"/>
              <w:bottom w:val="single" w:sz="4" w:space="0" w:color="auto"/>
              <w:right w:val="nil"/>
            </w:tcBorders>
            <w:shd w:val="clear" w:color="auto" w:fill="auto"/>
            <w:noWrap/>
            <w:vAlign w:val="bottom"/>
            <w:hideMark/>
          </w:tcPr>
          <w:p w14:paraId="7B503F68" w14:textId="77777777" w:rsidR="00152EFE" w:rsidRPr="00E5282C" w:rsidRDefault="00152EFE" w:rsidP="00E542C6">
            <w:pPr>
              <w:keepNext/>
              <w:spacing w:after="0"/>
              <w:jc w:val="right"/>
              <w:rPr>
                <w:sz w:val="20"/>
              </w:rPr>
            </w:pPr>
            <w:r w:rsidRPr="006E5612">
              <w:t>660</w:t>
            </w:r>
          </w:p>
        </w:tc>
      </w:tr>
    </w:tbl>
    <w:p w14:paraId="20558927" w14:textId="77777777" w:rsidR="00152EFE" w:rsidRPr="004F1C69" w:rsidRDefault="00152EFE" w:rsidP="00CB2B9D">
      <w:pPr>
        <w:rPr>
          <w:rFonts w:ascii="Verdana" w:hAnsi="Verdana"/>
          <w:sz w:val="16"/>
        </w:rPr>
      </w:pPr>
    </w:p>
    <w:p w14:paraId="77202629" w14:textId="77777777" w:rsidR="00CB2B9D" w:rsidRPr="004F1C69" w:rsidRDefault="00CB2B9D" w:rsidP="00CB2B9D">
      <w:pPr>
        <w:rPr>
          <w:rFonts w:ascii="Verdana" w:hAnsi="Verdana"/>
          <w:sz w:val="16"/>
        </w:rPr>
      </w:pPr>
      <w:r>
        <w:rPr>
          <w:rFonts w:ascii="Verdana" w:hAnsi="Verdana"/>
          <w:sz w:val="16"/>
        </w:rPr>
        <w:t>Table 2</w:t>
      </w:r>
      <w:r w:rsidRPr="004F1C69">
        <w:rPr>
          <w:rFonts w:ascii="Verdana" w:hAnsi="Verdana"/>
          <w:sz w:val="16"/>
        </w:rPr>
        <w:t xml:space="preserve">: </w:t>
      </w:r>
      <w:r>
        <w:rPr>
          <w:rFonts w:ascii="Verdana" w:hAnsi="Verdana"/>
          <w:sz w:val="16"/>
        </w:rPr>
        <w:t>Advised and reported catch of Jack Mackerel in the southeast Pacific.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205"/>
        <w:gridCol w:w="1662"/>
        <w:gridCol w:w="4857"/>
      </w:tblGrid>
      <w:tr w:rsidR="00CB2B9D" w:rsidRPr="00AA4FD3" w14:paraId="10278349" w14:textId="77777777" w:rsidTr="00E542C6">
        <w:trPr>
          <w:cantSplit/>
        </w:trPr>
        <w:tc>
          <w:tcPr>
            <w:tcW w:w="1005" w:type="dxa"/>
            <w:tcBorders>
              <w:top w:val="double" w:sz="4" w:space="0" w:color="auto"/>
              <w:bottom w:val="single" w:sz="4" w:space="0" w:color="auto"/>
            </w:tcBorders>
            <w:vAlign w:val="center"/>
          </w:tcPr>
          <w:p w14:paraId="2764FCD7" w14:textId="77777777" w:rsidR="00CB2B9D" w:rsidRPr="007A4175" w:rsidRDefault="00CB2B9D" w:rsidP="00E542C6">
            <w:pPr>
              <w:jc w:val="right"/>
            </w:pPr>
            <w:r w:rsidRPr="007A4175">
              <w:t>Year</w:t>
            </w:r>
          </w:p>
        </w:tc>
        <w:tc>
          <w:tcPr>
            <w:tcW w:w="1205" w:type="dxa"/>
            <w:tcBorders>
              <w:top w:val="double" w:sz="4" w:space="0" w:color="auto"/>
              <w:bottom w:val="single" w:sz="4" w:space="0" w:color="auto"/>
            </w:tcBorders>
            <w:vAlign w:val="center"/>
          </w:tcPr>
          <w:p w14:paraId="68448704" w14:textId="77777777" w:rsidR="00CB2B9D" w:rsidRPr="007A4175" w:rsidRDefault="00CB2B9D" w:rsidP="00E542C6">
            <w:pPr>
              <w:jc w:val="right"/>
            </w:pPr>
          </w:p>
        </w:tc>
        <w:tc>
          <w:tcPr>
            <w:tcW w:w="1662" w:type="dxa"/>
            <w:tcBorders>
              <w:top w:val="double" w:sz="4" w:space="0" w:color="auto"/>
              <w:bottom w:val="single" w:sz="4" w:space="0" w:color="auto"/>
            </w:tcBorders>
            <w:vAlign w:val="center"/>
          </w:tcPr>
          <w:p w14:paraId="27FC8629" w14:textId="77777777" w:rsidR="00CB2B9D" w:rsidRPr="007A4175" w:rsidRDefault="00CB2B9D" w:rsidP="00E542C6">
            <w:pPr>
              <w:jc w:val="right"/>
            </w:pPr>
            <w:r w:rsidRPr="007A4175">
              <w:t>Advised maximum catch</w:t>
            </w:r>
          </w:p>
        </w:tc>
        <w:tc>
          <w:tcPr>
            <w:tcW w:w="4857" w:type="dxa"/>
            <w:tcBorders>
              <w:top w:val="double" w:sz="4" w:space="0" w:color="auto"/>
              <w:bottom w:val="single" w:sz="4" w:space="0" w:color="auto"/>
            </w:tcBorders>
            <w:vAlign w:val="center"/>
          </w:tcPr>
          <w:p w14:paraId="1DB3A757" w14:textId="77777777" w:rsidR="00CB2B9D" w:rsidRPr="007A4175" w:rsidRDefault="00CB2B9D" w:rsidP="00E542C6">
            <w:pPr>
              <w:jc w:val="right"/>
            </w:pPr>
            <w:r w:rsidRPr="007A4175">
              <w:t>Reported catch</w:t>
            </w:r>
          </w:p>
        </w:tc>
      </w:tr>
      <w:tr w:rsidR="00CB2B9D" w:rsidRPr="00AA4FD3" w14:paraId="7E8D9B7B" w14:textId="77777777" w:rsidTr="00E542C6">
        <w:trPr>
          <w:cantSplit/>
        </w:trPr>
        <w:tc>
          <w:tcPr>
            <w:tcW w:w="1005" w:type="dxa"/>
            <w:tcBorders>
              <w:top w:val="single" w:sz="4" w:space="0" w:color="auto"/>
            </w:tcBorders>
            <w:vAlign w:val="center"/>
          </w:tcPr>
          <w:p w14:paraId="56E4305B" w14:textId="77777777" w:rsidR="00CB2B9D" w:rsidRPr="007A4175" w:rsidRDefault="00CB2B9D" w:rsidP="00E542C6">
            <w:pPr>
              <w:jc w:val="right"/>
            </w:pPr>
            <w:r w:rsidRPr="007A4175">
              <w:t>2008</w:t>
            </w:r>
          </w:p>
        </w:tc>
        <w:tc>
          <w:tcPr>
            <w:tcW w:w="1205" w:type="dxa"/>
            <w:tcBorders>
              <w:top w:val="single" w:sz="4" w:space="0" w:color="auto"/>
            </w:tcBorders>
            <w:vAlign w:val="center"/>
          </w:tcPr>
          <w:p w14:paraId="0B1FECAD" w14:textId="77777777" w:rsidR="00CB2B9D" w:rsidRPr="007A4175" w:rsidRDefault="00CB2B9D" w:rsidP="00E542C6">
            <w:pPr>
              <w:jc w:val="right"/>
            </w:pPr>
          </w:p>
        </w:tc>
        <w:tc>
          <w:tcPr>
            <w:tcW w:w="1662" w:type="dxa"/>
            <w:tcBorders>
              <w:top w:val="single" w:sz="4" w:space="0" w:color="auto"/>
            </w:tcBorders>
            <w:vAlign w:val="center"/>
          </w:tcPr>
          <w:p w14:paraId="62C7659D" w14:textId="77777777" w:rsidR="00CB2B9D" w:rsidRPr="007A4175" w:rsidRDefault="00CB2B9D" w:rsidP="00E542C6">
            <w:pPr>
              <w:jc w:val="right"/>
            </w:pPr>
          </w:p>
        </w:tc>
        <w:tc>
          <w:tcPr>
            <w:tcW w:w="4857" w:type="dxa"/>
            <w:tcBorders>
              <w:top w:val="single" w:sz="4" w:space="0" w:color="auto"/>
            </w:tcBorders>
            <w:vAlign w:val="center"/>
          </w:tcPr>
          <w:p w14:paraId="16921DCA" w14:textId="77777777" w:rsidR="00CB2B9D" w:rsidRPr="007A4175" w:rsidRDefault="00CB2B9D" w:rsidP="00E542C6">
            <w:pPr>
              <w:contextualSpacing/>
              <w:jc w:val="right"/>
            </w:pPr>
            <w:r w:rsidRPr="007A4175">
              <w:t>1,472,631</w:t>
            </w:r>
          </w:p>
        </w:tc>
      </w:tr>
      <w:tr w:rsidR="00CB2B9D" w:rsidRPr="00AA4FD3" w14:paraId="49E01FAE" w14:textId="77777777" w:rsidTr="00E542C6">
        <w:trPr>
          <w:cantSplit/>
        </w:trPr>
        <w:tc>
          <w:tcPr>
            <w:tcW w:w="1005" w:type="dxa"/>
            <w:vAlign w:val="center"/>
          </w:tcPr>
          <w:p w14:paraId="1992BA5E" w14:textId="77777777" w:rsidR="00CB2B9D" w:rsidRPr="007A4175" w:rsidRDefault="00CB2B9D" w:rsidP="00E542C6">
            <w:pPr>
              <w:jc w:val="right"/>
            </w:pPr>
            <w:r w:rsidRPr="007A4175">
              <w:t>2009</w:t>
            </w:r>
          </w:p>
        </w:tc>
        <w:tc>
          <w:tcPr>
            <w:tcW w:w="1205" w:type="dxa"/>
            <w:vAlign w:val="center"/>
          </w:tcPr>
          <w:p w14:paraId="2D046537" w14:textId="77777777" w:rsidR="00CB2B9D" w:rsidRPr="007A4175" w:rsidRDefault="00CB2B9D" w:rsidP="00E542C6">
            <w:pPr>
              <w:jc w:val="right"/>
            </w:pPr>
          </w:p>
        </w:tc>
        <w:tc>
          <w:tcPr>
            <w:tcW w:w="1662" w:type="dxa"/>
            <w:vAlign w:val="center"/>
          </w:tcPr>
          <w:p w14:paraId="1CABCA3F" w14:textId="77777777" w:rsidR="00CB2B9D" w:rsidRPr="007A4175" w:rsidRDefault="00CB2B9D" w:rsidP="00E542C6">
            <w:pPr>
              <w:jc w:val="right"/>
            </w:pPr>
          </w:p>
        </w:tc>
        <w:tc>
          <w:tcPr>
            <w:tcW w:w="4857" w:type="dxa"/>
            <w:vAlign w:val="center"/>
          </w:tcPr>
          <w:p w14:paraId="057A8F82" w14:textId="77777777" w:rsidR="00CB2B9D" w:rsidRPr="007A4175" w:rsidRDefault="00CB2B9D" w:rsidP="00E542C6">
            <w:pPr>
              <w:contextualSpacing/>
              <w:jc w:val="right"/>
            </w:pPr>
            <w:r w:rsidRPr="007A4175">
              <w:t>1,283,474</w:t>
            </w:r>
          </w:p>
        </w:tc>
      </w:tr>
      <w:tr w:rsidR="00CB2B9D" w:rsidRPr="00AA4FD3" w14:paraId="542A4A2C" w14:textId="77777777" w:rsidTr="00E542C6">
        <w:trPr>
          <w:cantSplit/>
        </w:trPr>
        <w:tc>
          <w:tcPr>
            <w:tcW w:w="1005" w:type="dxa"/>
            <w:vAlign w:val="center"/>
          </w:tcPr>
          <w:p w14:paraId="362C2B8E" w14:textId="77777777" w:rsidR="00CB2B9D" w:rsidRPr="007A4175" w:rsidRDefault="00CB2B9D" w:rsidP="00E542C6">
            <w:pPr>
              <w:jc w:val="right"/>
            </w:pPr>
            <w:r w:rsidRPr="007A4175">
              <w:t>2010</w:t>
            </w:r>
          </w:p>
        </w:tc>
        <w:tc>
          <w:tcPr>
            <w:tcW w:w="1205" w:type="dxa"/>
            <w:vAlign w:val="center"/>
          </w:tcPr>
          <w:p w14:paraId="578FBC27" w14:textId="77777777" w:rsidR="00CB2B9D" w:rsidRPr="007A4175" w:rsidRDefault="00CB2B9D" w:rsidP="00E542C6">
            <w:pPr>
              <w:jc w:val="right"/>
            </w:pPr>
          </w:p>
        </w:tc>
        <w:tc>
          <w:tcPr>
            <w:tcW w:w="1662" w:type="dxa"/>
            <w:vAlign w:val="center"/>
          </w:tcPr>
          <w:p w14:paraId="40320EA4" w14:textId="77777777" w:rsidR="00CB2B9D" w:rsidRPr="007A4175" w:rsidRDefault="00CB2B9D" w:rsidP="00E542C6">
            <w:pPr>
              <w:jc w:val="right"/>
            </w:pPr>
          </w:p>
        </w:tc>
        <w:tc>
          <w:tcPr>
            <w:tcW w:w="4857" w:type="dxa"/>
            <w:vAlign w:val="center"/>
          </w:tcPr>
          <w:p w14:paraId="5B6887B0" w14:textId="77777777" w:rsidR="00CB2B9D" w:rsidRPr="007A4175" w:rsidRDefault="00CB2B9D" w:rsidP="00E542C6">
            <w:pPr>
              <w:contextualSpacing/>
              <w:jc w:val="right"/>
            </w:pPr>
            <w:r w:rsidRPr="007A4175">
              <w:t>726,573</w:t>
            </w:r>
          </w:p>
        </w:tc>
      </w:tr>
      <w:tr w:rsidR="00CB2B9D" w:rsidRPr="00AA4FD3" w14:paraId="644B0063" w14:textId="77777777" w:rsidTr="00E542C6">
        <w:trPr>
          <w:cantSplit/>
        </w:trPr>
        <w:tc>
          <w:tcPr>
            <w:tcW w:w="1005" w:type="dxa"/>
            <w:vAlign w:val="center"/>
          </w:tcPr>
          <w:p w14:paraId="756C4EA7" w14:textId="77777777" w:rsidR="00CB2B9D" w:rsidRPr="007A4175" w:rsidRDefault="00CB2B9D" w:rsidP="00E542C6">
            <w:pPr>
              <w:jc w:val="right"/>
            </w:pPr>
            <w:r w:rsidRPr="007A4175">
              <w:t>2011</w:t>
            </w:r>
          </w:p>
        </w:tc>
        <w:tc>
          <w:tcPr>
            <w:tcW w:w="1205" w:type="dxa"/>
            <w:vAlign w:val="center"/>
          </w:tcPr>
          <w:p w14:paraId="5712403F" w14:textId="77777777" w:rsidR="00CB2B9D" w:rsidRPr="007A4175" w:rsidRDefault="00CB2B9D" w:rsidP="00E542C6">
            <w:pPr>
              <w:jc w:val="right"/>
            </w:pPr>
          </w:p>
        </w:tc>
        <w:tc>
          <w:tcPr>
            <w:tcW w:w="1662" w:type="dxa"/>
            <w:vAlign w:val="center"/>
          </w:tcPr>
          <w:p w14:paraId="72379A29" w14:textId="77777777" w:rsidR="00CB2B9D" w:rsidRPr="007A4175" w:rsidRDefault="00CB2B9D" w:rsidP="00E542C6">
            <w:pPr>
              <w:jc w:val="right"/>
            </w:pPr>
            <w:r w:rsidRPr="007A4175">
              <w:t>711,783</w:t>
            </w:r>
          </w:p>
        </w:tc>
        <w:tc>
          <w:tcPr>
            <w:tcW w:w="4857" w:type="dxa"/>
            <w:vAlign w:val="center"/>
          </w:tcPr>
          <w:p w14:paraId="5A21F89A" w14:textId="77777777" w:rsidR="00CB2B9D" w:rsidRPr="007A4175" w:rsidRDefault="00CB2B9D" w:rsidP="00E542C6">
            <w:pPr>
              <w:contextualSpacing/>
              <w:jc w:val="right"/>
            </w:pPr>
            <w:r w:rsidRPr="007A4175">
              <w:t>634,580</w:t>
            </w:r>
          </w:p>
        </w:tc>
      </w:tr>
      <w:tr w:rsidR="00CB2B9D" w:rsidRPr="00AA4FD3" w14:paraId="69EB1AD2" w14:textId="77777777" w:rsidTr="00E542C6">
        <w:trPr>
          <w:cantSplit/>
        </w:trPr>
        <w:tc>
          <w:tcPr>
            <w:tcW w:w="1005" w:type="dxa"/>
            <w:vAlign w:val="center"/>
          </w:tcPr>
          <w:p w14:paraId="2C5ACB01" w14:textId="77777777" w:rsidR="00CB2B9D" w:rsidRPr="007A4175" w:rsidRDefault="00CB2B9D" w:rsidP="00E542C6">
            <w:pPr>
              <w:jc w:val="right"/>
            </w:pPr>
            <w:r w:rsidRPr="007A4175">
              <w:t>2012</w:t>
            </w:r>
          </w:p>
        </w:tc>
        <w:tc>
          <w:tcPr>
            <w:tcW w:w="1205" w:type="dxa"/>
            <w:vAlign w:val="center"/>
          </w:tcPr>
          <w:p w14:paraId="322AB490" w14:textId="77777777" w:rsidR="00CB2B9D" w:rsidRPr="007A4175" w:rsidRDefault="00CB2B9D" w:rsidP="00E542C6">
            <w:pPr>
              <w:jc w:val="right"/>
            </w:pPr>
          </w:p>
        </w:tc>
        <w:tc>
          <w:tcPr>
            <w:tcW w:w="1662" w:type="dxa"/>
            <w:vAlign w:val="center"/>
          </w:tcPr>
          <w:p w14:paraId="2B5DD1EE" w14:textId="77777777" w:rsidR="00CB2B9D" w:rsidRPr="007A4175" w:rsidRDefault="00CB2B9D" w:rsidP="00E542C6">
            <w:pPr>
              <w:jc w:val="right"/>
            </w:pPr>
            <w:r w:rsidRPr="007A4175">
              <w:t>520,000</w:t>
            </w:r>
          </w:p>
        </w:tc>
        <w:tc>
          <w:tcPr>
            <w:tcW w:w="4857" w:type="dxa"/>
            <w:vAlign w:val="center"/>
          </w:tcPr>
          <w:p w14:paraId="494B543A" w14:textId="77777777" w:rsidR="00CB2B9D" w:rsidRPr="007A4175" w:rsidRDefault="00CB2B9D" w:rsidP="00E542C6">
            <w:pPr>
              <w:contextualSpacing/>
              <w:jc w:val="right"/>
            </w:pPr>
            <w:r w:rsidRPr="007A4175">
              <w:t>454,774</w:t>
            </w:r>
          </w:p>
        </w:tc>
      </w:tr>
      <w:tr w:rsidR="00CB2B9D" w:rsidRPr="00AA4FD3" w14:paraId="4DCD6CD6" w14:textId="77777777" w:rsidTr="00E542C6">
        <w:trPr>
          <w:cantSplit/>
        </w:trPr>
        <w:tc>
          <w:tcPr>
            <w:tcW w:w="1005" w:type="dxa"/>
            <w:vAlign w:val="center"/>
          </w:tcPr>
          <w:p w14:paraId="7B70DDC0" w14:textId="77777777" w:rsidR="00CB2B9D" w:rsidRPr="007A4175" w:rsidRDefault="00CB2B9D" w:rsidP="00E542C6">
            <w:pPr>
              <w:jc w:val="right"/>
            </w:pPr>
            <w:r w:rsidRPr="007A4175">
              <w:t>2013</w:t>
            </w:r>
          </w:p>
        </w:tc>
        <w:tc>
          <w:tcPr>
            <w:tcW w:w="1205" w:type="dxa"/>
            <w:vAlign w:val="center"/>
          </w:tcPr>
          <w:p w14:paraId="33F80B6F" w14:textId="77777777" w:rsidR="00CB2B9D" w:rsidRPr="007A4175" w:rsidRDefault="00CB2B9D" w:rsidP="00E542C6">
            <w:pPr>
              <w:jc w:val="right"/>
            </w:pPr>
          </w:p>
        </w:tc>
        <w:tc>
          <w:tcPr>
            <w:tcW w:w="1662" w:type="dxa"/>
            <w:vAlign w:val="center"/>
          </w:tcPr>
          <w:p w14:paraId="4DDB5E64" w14:textId="77777777" w:rsidR="00CB2B9D" w:rsidRPr="007A4175" w:rsidRDefault="00CB2B9D" w:rsidP="00E542C6">
            <w:pPr>
              <w:jc w:val="right"/>
            </w:pPr>
            <w:r w:rsidRPr="007A4175">
              <w:t>441,000</w:t>
            </w:r>
          </w:p>
        </w:tc>
        <w:tc>
          <w:tcPr>
            <w:tcW w:w="4857" w:type="dxa"/>
            <w:vAlign w:val="center"/>
          </w:tcPr>
          <w:p w14:paraId="73C0FD97" w14:textId="77777777" w:rsidR="00CB2B9D" w:rsidRPr="007A4175" w:rsidRDefault="00CB2B9D" w:rsidP="00E542C6">
            <w:pPr>
              <w:contextualSpacing/>
              <w:jc w:val="right"/>
            </w:pPr>
            <w:r w:rsidRPr="007A4175">
              <w:t>353,123</w:t>
            </w:r>
          </w:p>
        </w:tc>
      </w:tr>
      <w:tr w:rsidR="00CB2B9D" w:rsidRPr="00AA4FD3" w14:paraId="3613929F" w14:textId="77777777" w:rsidTr="00E542C6">
        <w:trPr>
          <w:cantSplit/>
        </w:trPr>
        <w:tc>
          <w:tcPr>
            <w:tcW w:w="1005" w:type="dxa"/>
            <w:vAlign w:val="center"/>
          </w:tcPr>
          <w:p w14:paraId="5CD525A2" w14:textId="77777777" w:rsidR="00CB2B9D" w:rsidRPr="007A4175" w:rsidRDefault="00CB2B9D" w:rsidP="00E542C6">
            <w:pPr>
              <w:jc w:val="right"/>
            </w:pPr>
            <w:r w:rsidRPr="007A4175">
              <w:t>2014</w:t>
            </w:r>
          </w:p>
        </w:tc>
        <w:tc>
          <w:tcPr>
            <w:tcW w:w="1205" w:type="dxa"/>
            <w:vAlign w:val="center"/>
          </w:tcPr>
          <w:p w14:paraId="78119429" w14:textId="77777777" w:rsidR="00CB2B9D" w:rsidRPr="007A4175" w:rsidRDefault="00CB2B9D" w:rsidP="00E542C6">
            <w:pPr>
              <w:jc w:val="right"/>
            </w:pPr>
          </w:p>
        </w:tc>
        <w:tc>
          <w:tcPr>
            <w:tcW w:w="1662" w:type="dxa"/>
            <w:vAlign w:val="center"/>
          </w:tcPr>
          <w:p w14:paraId="556DE0B4" w14:textId="77777777" w:rsidR="00CB2B9D" w:rsidRPr="007A4175" w:rsidRDefault="00CB2B9D" w:rsidP="00E542C6">
            <w:pPr>
              <w:jc w:val="right"/>
            </w:pPr>
            <w:r w:rsidRPr="007A4175">
              <w:t>440,000</w:t>
            </w:r>
          </w:p>
        </w:tc>
        <w:tc>
          <w:tcPr>
            <w:tcW w:w="4857" w:type="dxa"/>
            <w:vAlign w:val="center"/>
          </w:tcPr>
          <w:p w14:paraId="7352444F" w14:textId="77777777" w:rsidR="00CB2B9D" w:rsidRPr="007A4175" w:rsidRDefault="00CB2B9D" w:rsidP="00E542C6">
            <w:pPr>
              <w:contextualSpacing/>
              <w:jc w:val="right"/>
            </w:pPr>
            <w:r w:rsidRPr="007A4175">
              <w:t>395,085*</w:t>
            </w:r>
          </w:p>
        </w:tc>
      </w:tr>
      <w:tr w:rsidR="00CB2B9D" w:rsidRPr="00AA4FD3" w14:paraId="05DDCAF7" w14:textId="77777777" w:rsidTr="00E542C6">
        <w:trPr>
          <w:cantSplit/>
        </w:trPr>
        <w:tc>
          <w:tcPr>
            <w:tcW w:w="1005" w:type="dxa"/>
            <w:tcBorders>
              <w:bottom w:val="single" w:sz="4" w:space="0" w:color="auto"/>
            </w:tcBorders>
            <w:vAlign w:val="center"/>
          </w:tcPr>
          <w:p w14:paraId="27ECA46C" w14:textId="77777777" w:rsidR="00CB2B9D" w:rsidRPr="007A4175" w:rsidRDefault="00CB2B9D" w:rsidP="00E542C6">
            <w:pPr>
              <w:jc w:val="right"/>
            </w:pPr>
            <w:r w:rsidRPr="007A4175">
              <w:t>2015</w:t>
            </w:r>
          </w:p>
        </w:tc>
        <w:tc>
          <w:tcPr>
            <w:tcW w:w="1205" w:type="dxa"/>
            <w:tcBorders>
              <w:bottom w:val="single" w:sz="4" w:space="0" w:color="auto"/>
            </w:tcBorders>
            <w:vAlign w:val="center"/>
          </w:tcPr>
          <w:p w14:paraId="3C6C81BA" w14:textId="77777777" w:rsidR="00CB2B9D" w:rsidRPr="007A4175" w:rsidRDefault="00CB2B9D" w:rsidP="00E542C6">
            <w:pPr>
              <w:jc w:val="right"/>
            </w:pPr>
          </w:p>
        </w:tc>
        <w:tc>
          <w:tcPr>
            <w:tcW w:w="1662" w:type="dxa"/>
            <w:tcBorders>
              <w:bottom w:val="single" w:sz="4" w:space="0" w:color="auto"/>
            </w:tcBorders>
            <w:vAlign w:val="center"/>
          </w:tcPr>
          <w:p w14:paraId="29B982C8" w14:textId="77777777" w:rsidR="00CB2B9D" w:rsidRPr="007A4175" w:rsidRDefault="00CB2B9D" w:rsidP="00E542C6">
            <w:pPr>
              <w:jc w:val="right"/>
            </w:pPr>
            <w:r w:rsidRPr="007A4175">
              <w:t>460,000</w:t>
            </w:r>
          </w:p>
        </w:tc>
        <w:tc>
          <w:tcPr>
            <w:tcW w:w="4857" w:type="dxa"/>
            <w:tcBorders>
              <w:bottom w:val="single" w:sz="4" w:space="0" w:color="auto"/>
            </w:tcBorders>
            <w:vAlign w:val="center"/>
          </w:tcPr>
          <w:p w14:paraId="4CDAEDB3" w14:textId="77777777" w:rsidR="00CB2B9D" w:rsidRPr="007A4175" w:rsidRDefault="00CB2B9D" w:rsidP="00E542C6">
            <w:pPr>
              <w:contextualSpacing/>
              <w:jc w:val="right"/>
            </w:pPr>
          </w:p>
        </w:tc>
      </w:tr>
    </w:tbl>
    <w:p w14:paraId="28C01E87" w14:textId="3F08F12B" w:rsidR="00CB2B9D" w:rsidRDefault="00CB2B9D" w:rsidP="00CB2B9D">
      <w:pPr>
        <w:rPr>
          <w:rFonts w:ascii="Verdana" w:eastAsia="Verdana" w:hAnsi="Verdana" w:cs="Verdana"/>
          <w:sz w:val="18"/>
        </w:rPr>
      </w:pPr>
      <w:r>
        <w:t>* As estimated at SC02</w:t>
      </w:r>
    </w:p>
    <w:p w14:paraId="6F210A4C" w14:textId="1456D6BA" w:rsidR="00513DED" w:rsidRDefault="00CB5559" w:rsidP="00CB5559">
      <w:pPr>
        <w:pStyle w:val="Normal1"/>
      </w:pPr>
      <w:r>
        <w:rPr>
          <w:rFonts w:ascii="Verdana" w:eastAsia="Verdana" w:hAnsi="Verdana" w:cs="Verdana"/>
          <w:sz w:val="18"/>
        </w:rPr>
        <w:t xml:space="preserve"> </w:t>
      </w:r>
    </w:p>
    <w:sectPr w:rsidR="00513DED" w:rsidSect="00B1049B">
      <w:headerReference w:type="even" r:id="rId87"/>
      <w:headerReference w:type="default" r:id="rId88"/>
      <w:footerReference w:type="even" r:id="rId89"/>
      <w:footerReference w:type="default" r:id="rId90"/>
      <w:headerReference w:type="first" r:id="rId91"/>
      <w:footerReference w:type="first" r:id="rId92"/>
      <w:pgSz w:w="11900" w:h="16840" w:code="9"/>
      <w:pgMar w:top="1582" w:right="1639" w:bottom="278" w:left="167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185EA" w14:textId="77777777" w:rsidR="000F2C02" w:rsidRDefault="000F2C02">
      <w:pPr>
        <w:spacing w:after="0"/>
      </w:pPr>
      <w:r>
        <w:separator/>
      </w:r>
    </w:p>
  </w:endnote>
  <w:endnote w:type="continuationSeparator" w:id="0">
    <w:p w14:paraId="71CB9C1E" w14:textId="77777777" w:rsidR="000F2C02" w:rsidRDefault="000F2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10E50" w14:textId="77777777" w:rsidR="00B1049B" w:rsidRDefault="00B10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1BE60" w14:textId="77777777" w:rsidR="00CB5559" w:rsidRDefault="00CB5559">
    <w:pPr>
      <w:pStyle w:val="Normal1"/>
      <w:tabs>
        <w:tab w:val="left" w:pos="3142"/>
        <w:tab w:val="center" w:pos="4290"/>
      </w:tabs>
    </w:pPr>
    <w:r>
      <w:tab/>
    </w:r>
    <w:r>
      <w:tab/>
    </w:r>
    <w:r>
      <w:fldChar w:fldCharType="begin"/>
    </w:r>
    <w:r>
      <w:instrText>PAGE</w:instrText>
    </w:r>
    <w:r>
      <w:fldChar w:fldCharType="separate"/>
    </w:r>
    <w:r w:rsidR="00B1049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DB126" w14:textId="77777777" w:rsidR="00B1049B" w:rsidRDefault="00B10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30A6" w14:textId="77777777" w:rsidR="000F2C02" w:rsidRDefault="000F2C02">
      <w:pPr>
        <w:spacing w:after="0"/>
      </w:pPr>
      <w:r>
        <w:separator/>
      </w:r>
    </w:p>
  </w:footnote>
  <w:footnote w:type="continuationSeparator" w:id="0">
    <w:p w14:paraId="2912681C" w14:textId="77777777" w:rsidR="000F2C02" w:rsidRDefault="000F2C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6854B" w14:textId="77777777" w:rsidR="00B1049B" w:rsidRDefault="00B104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1C829" w14:textId="640A3066" w:rsidR="00B1049B" w:rsidRPr="00B1049B" w:rsidRDefault="00CB5559" w:rsidP="00B1049B">
    <w:pPr>
      <w:pStyle w:val="Normal1"/>
      <w:spacing w:after="0"/>
      <w:jc w:val="center"/>
      <w:rPr>
        <w:sz w:val="20"/>
      </w:rPr>
    </w:pPr>
    <w:r>
      <w:t>Monday Eve draft</w:t>
    </w:r>
    <w:r w:rsidR="00B1049B">
      <w:tab/>
    </w:r>
    <w:r w:rsidR="00B1049B">
      <w:tab/>
    </w:r>
    <w:r w:rsidR="00B1049B">
      <w:tab/>
    </w:r>
    <w:r w:rsidR="00B1049B">
      <w:tab/>
    </w:r>
    <w:r w:rsidR="00B1049B">
      <w:tab/>
    </w:r>
    <w:r w:rsidR="00B1049B">
      <w:tab/>
    </w:r>
    <w:r w:rsidR="00B1049B">
      <w:tab/>
    </w:r>
    <w:r w:rsidR="00B1049B">
      <w:tab/>
    </w:r>
    <w:bookmarkStart w:id="27" w:name="_GoBack"/>
    <w:bookmarkEnd w:id="27"/>
    <w:r w:rsidR="00B1049B" w:rsidRPr="00B1049B">
      <w:rPr>
        <w:sz w:val="24"/>
      </w:rPr>
      <w:t xml:space="preserve"> </w:t>
    </w:r>
    <w:r w:rsidR="00B1049B" w:rsidRPr="00B1049B">
      <w:rPr>
        <w:sz w:val="24"/>
      </w:rPr>
      <w:t>SC-02-WP-16</w:t>
    </w:r>
  </w:p>
  <w:p w14:paraId="7324FC1D" w14:textId="4C075A14" w:rsidR="00CB5559" w:rsidRDefault="00CB5559" w:rsidP="00B1049B">
    <w:pPr>
      <w:pStyle w:val="Normal1"/>
      <w:spacing w:before="20" w:after="0"/>
      <w:ind w:right="88"/>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0A724" w14:textId="77777777" w:rsidR="00B1049B" w:rsidRDefault="00B10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C9F"/>
    <w:multiLevelType w:val="multilevel"/>
    <w:tmpl w:val="DB2840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E2841A3"/>
    <w:multiLevelType w:val="multilevel"/>
    <w:tmpl w:val="BCF6AB48"/>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0E5D39B4"/>
    <w:multiLevelType w:val="multilevel"/>
    <w:tmpl w:val="F59061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B1D63F1"/>
    <w:multiLevelType w:val="multilevel"/>
    <w:tmpl w:val="DBE2F2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BC45D71"/>
    <w:multiLevelType w:val="multilevel"/>
    <w:tmpl w:val="1CAEC2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BCA30B9"/>
    <w:multiLevelType w:val="multilevel"/>
    <w:tmpl w:val="E3CEE8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5F361B8"/>
    <w:multiLevelType w:val="multilevel"/>
    <w:tmpl w:val="59DA80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5FD7732"/>
    <w:multiLevelType w:val="multilevel"/>
    <w:tmpl w:val="FD0EB5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44857403"/>
    <w:multiLevelType w:val="multilevel"/>
    <w:tmpl w:val="B50AB7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F3551E9"/>
    <w:multiLevelType w:val="multilevel"/>
    <w:tmpl w:val="58FEA35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10">
    <w:nsid w:val="65787A85"/>
    <w:multiLevelType w:val="multilevel"/>
    <w:tmpl w:val="1C7AD7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7FE57AF"/>
    <w:multiLevelType w:val="multilevel"/>
    <w:tmpl w:val="2AE021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CB53072"/>
    <w:multiLevelType w:val="multilevel"/>
    <w:tmpl w:val="6E88D484"/>
    <w:lvl w:ilvl="0">
      <w:start w:val="1"/>
      <w:numFmt w:val="decimal"/>
      <w:lvlText w:val="%1."/>
      <w:lvlJc w:val="left"/>
      <w:pPr>
        <w:ind w:left="720" w:firstLine="360"/>
      </w:p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num w:numId="1">
    <w:abstractNumId w:val="6"/>
  </w:num>
  <w:num w:numId="2">
    <w:abstractNumId w:val="1"/>
  </w:num>
  <w:num w:numId="3">
    <w:abstractNumId w:val="8"/>
  </w:num>
  <w:num w:numId="4">
    <w:abstractNumId w:val="2"/>
  </w:num>
  <w:num w:numId="5">
    <w:abstractNumId w:val="12"/>
  </w:num>
  <w:num w:numId="6">
    <w:abstractNumId w:val="7"/>
  </w:num>
  <w:num w:numId="7">
    <w:abstractNumId w:val="0"/>
  </w:num>
  <w:num w:numId="8">
    <w:abstractNumId w:val="10"/>
  </w:num>
  <w:num w:numId="9">
    <w:abstractNumId w:val="4"/>
  </w:num>
  <w:num w:numId="10">
    <w:abstractNumId w:val="3"/>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13DED"/>
    <w:rsid w:val="000F2C02"/>
    <w:rsid w:val="00152EFE"/>
    <w:rsid w:val="00513DED"/>
    <w:rsid w:val="00591C89"/>
    <w:rsid w:val="00925F09"/>
    <w:rsid w:val="00B1049B"/>
    <w:rsid w:val="00C41725"/>
    <w:rsid w:val="00CB2B9D"/>
    <w:rsid w:val="00CB5559"/>
    <w:rsid w:val="00E3226F"/>
    <w:rsid w:val="00E5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1AF12"/>
  <w15:docId w15:val="{6ED84316-71A1-419B-9DDB-F4B79F2F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widowControl w:val="0"/>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40" w:after="0"/>
      <w:ind w:left="360" w:hanging="359"/>
      <w:outlineLvl w:val="0"/>
    </w:pPr>
    <w:rPr>
      <w:b/>
      <w:sz w:val="24"/>
    </w:rPr>
  </w:style>
  <w:style w:type="paragraph" w:styleId="Heading2">
    <w:name w:val="heading 2"/>
    <w:basedOn w:val="Normal1"/>
    <w:next w:val="Normal1"/>
    <w:pPr>
      <w:keepNext/>
      <w:keepLines/>
      <w:spacing w:before="240" w:after="60"/>
      <w:ind w:left="480" w:hanging="359"/>
      <w:contextualSpacing/>
      <w:outlineLvl w:val="1"/>
    </w:pPr>
    <w:rPr>
      <w:i/>
    </w:rPr>
  </w:style>
  <w:style w:type="paragraph" w:styleId="Heading3">
    <w:name w:val="heading 3"/>
    <w:basedOn w:val="Normal1"/>
    <w:next w:val="Normal1"/>
    <w:pPr>
      <w:keepNext/>
      <w:keepLines/>
      <w:spacing w:before="240" w:after="40"/>
      <w:ind w:left="1020" w:hanging="719"/>
      <w:contextualSpacing/>
      <w:outlineLvl w:val="2"/>
    </w:pPr>
  </w:style>
  <w:style w:type="paragraph" w:styleId="Heading4">
    <w:name w:val="heading 4"/>
    <w:basedOn w:val="Normal1"/>
    <w:next w:val="Normal1"/>
    <w:pPr>
      <w:keepNext/>
      <w:keepLines/>
      <w:spacing w:before="40" w:after="0"/>
      <w:outlineLvl w:val="3"/>
    </w:pPr>
    <w:rPr>
      <w:rFonts w:ascii="Cambria" w:eastAsia="Cambria" w:hAnsi="Cambria" w:cs="Cambria"/>
      <w:i/>
      <w:color w:val="3B618E"/>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widowControl/>
      <w:spacing w:after="0"/>
    </w:p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a0">
    <w:basedOn w:val="TableNormal"/>
    <w:tblPr>
      <w:tblStyleRowBandSize w:val="1"/>
      <w:tblStyleColBandSize w:val="1"/>
      <w:tblCellMar>
        <w:left w:w="43" w:type="dxa"/>
        <w:right w:w="43" w:type="dxa"/>
      </w:tblCellMar>
    </w:tblPr>
  </w:style>
  <w:style w:type="table" w:customStyle="1" w:styleId="a1">
    <w:basedOn w:val="TableNormal"/>
    <w:pPr>
      <w:widowControl/>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3226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26F"/>
    <w:rPr>
      <w:rFonts w:ascii="Lucida Grande" w:hAnsi="Lucida Grande" w:cs="Lucida Grande"/>
      <w:sz w:val="18"/>
      <w:szCs w:val="18"/>
    </w:rPr>
  </w:style>
  <w:style w:type="paragraph" w:styleId="Header">
    <w:name w:val="header"/>
    <w:basedOn w:val="Normal"/>
    <w:link w:val="HeaderChar"/>
    <w:uiPriority w:val="99"/>
    <w:unhideWhenUsed/>
    <w:rsid w:val="00CB5559"/>
    <w:pPr>
      <w:tabs>
        <w:tab w:val="center" w:pos="4320"/>
        <w:tab w:val="right" w:pos="8640"/>
      </w:tabs>
      <w:spacing w:after="0"/>
    </w:pPr>
  </w:style>
  <w:style w:type="character" w:customStyle="1" w:styleId="HeaderChar">
    <w:name w:val="Header Char"/>
    <w:basedOn w:val="DefaultParagraphFont"/>
    <w:link w:val="Header"/>
    <w:uiPriority w:val="99"/>
    <w:rsid w:val="00CB5559"/>
  </w:style>
  <w:style w:type="paragraph" w:styleId="Footer">
    <w:name w:val="footer"/>
    <w:basedOn w:val="Normal"/>
    <w:link w:val="FooterChar"/>
    <w:uiPriority w:val="99"/>
    <w:unhideWhenUsed/>
    <w:rsid w:val="00CB5559"/>
    <w:pPr>
      <w:tabs>
        <w:tab w:val="center" w:pos="4320"/>
        <w:tab w:val="right" w:pos="8640"/>
      </w:tabs>
      <w:spacing w:after="0"/>
    </w:pPr>
  </w:style>
  <w:style w:type="character" w:customStyle="1" w:styleId="FooterChar">
    <w:name w:val="Footer Char"/>
    <w:basedOn w:val="DefaultParagraphFont"/>
    <w:link w:val="Footer"/>
    <w:uiPriority w:val="99"/>
    <w:rsid w:val="00CB5559"/>
  </w:style>
  <w:style w:type="table" w:styleId="TableGrid">
    <w:name w:val="Table Grid"/>
    <w:basedOn w:val="TableNormal"/>
    <w:uiPriority w:val="59"/>
    <w:rsid w:val="00CB2B9D"/>
    <w:pPr>
      <w:widowControl/>
      <w:spacing w:after="0"/>
    </w:pPr>
    <w:rPr>
      <w:rFonts w:ascii="Times New Roman" w:hAnsi="Times New Roman" w:cs="Times New Roman"/>
      <w:color w:val="auto"/>
      <w:sz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robertolicandeo@gmail.com" TargetMode="External"/><Relationship Id="rId18" Type="http://schemas.openxmlformats.org/officeDocument/2006/relationships/hyperlink" Target="mailto:asepulveda@inpesca.cl" TargetMode="External"/><Relationship Id="rId26" Type="http://schemas.openxmlformats.org/officeDocument/2006/relationships/hyperlink" Target="mailto:rodoflo.serra@ifop.cl" TargetMode="External"/><Relationship Id="rId39" Type="http://schemas.openxmlformats.org/officeDocument/2006/relationships/hyperlink" Target="mailto:francois.gerlotto@ird.fr" TargetMode="External"/><Relationship Id="rId21" Type="http://schemas.openxmlformats.org/officeDocument/2006/relationships/hyperlink" Target="mailto:aguerrero@subpesca.cl" TargetMode="External"/><Relationship Id="rId34" Type="http://schemas.openxmlformats.org/officeDocument/2006/relationships/hyperlink" Target="mailto:g-li@shou.edu.cn" TargetMode="External"/><Relationship Id="rId42" Type="http://schemas.openxmlformats.org/officeDocument/2006/relationships/hyperlink" Target="mailto:jiwon.yoon@ififc.org" TargetMode="External"/><Relationship Id="rId47" Type="http://schemas.openxmlformats.org/officeDocument/2006/relationships/hyperlink" Target="mailto:glubokov@vniro.ru" TargetMode="External"/><Relationship Id="rId50" Type="http://schemas.openxmlformats.org/officeDocument/2006/relationships/hyperlink" Target="mailto:javier.plata@aunap.gov.co" TargetMode="External"/><Relationship Id="rId55" Type="http://schemas.openxmlformats.org/officeDocument/2006/relationships/hyperlink" Target="mailto:ricardo.oliveros@gmail.com" TargetMode="External"/><Relationship Id="rId63" Type="http://schemas.openxmlformats.org/officeDocument/2006/relationships/hyperlink" Target="mailto:homelawyer4@gmail.com" TargetMode="External"/><Relationship Id="rId68" Type="http://schemas.openxmlformats.org/officeDocument/2006/relationships/hyperlink" Target="mailto:annie.yau@noaa.gov" TargetMode="External"/><Relationship Id="rId76" Type="http://schemas.openxmlformats.org/officeDocument/2006/relationships/hyperlink" Target="mailto:fabio.carocci@fao.org" TargetMode="External"/><Relationship Id="rId84" Type="http://schemas.openxmlformats.org/officeDocument/2006/relationships/hyperlink" Target="mailto:jfischer@sprfmo.int" TargetMode="External"/><Relationship Id="rId89" Type="http://schemas.openxmlformats.org/officeDocument/2006/relationships/footer" Target="footer1.xml"/><Relationship Id="rId7" Type="http://schemas.openxmlformats.org/officeDocument/2006/relationships/image" Target="media/image1.jpg"/><Relationship Id="rId71" Type="http://schemas.openxmlformats.org/officeDocument/2006/relationships/hyperlink" Target="mailto:valerie.chan@noaa.gov"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icampodo@subpesca.cl" TargetMode="External"/><Relationship Id="rId29" Type="http://schemas.openxmlformats.org/officeDocument/2006/relationships/hyperlink" Target="mailto:albarthur@gmail.com" TargetMode="External"/><Relationship Id="rId11" Type="http://schemas.openxmlformats.org/officeDocument/2006/relationships/hyperlink" Target="mailto:jim.ianelli@noaa.gov" TargetMode="External"/><Relationship Id="rId24" Type="http://schemas.openxmlformats.org/officeDocument/2006/relationships/hyperlink" Target="mailto:shernandez@subpesca.cl" TargetMode="External"/><Relationship Id="rId32" Type="http://schemas.openxmlformats.org/officeDocument/2006/relationships/hyperlink" Target="mailto:rodoflo.serra@ifop.cl" TargetMode="External"/><Relationship Id="rId37" Type="http://schemas.openxmlformats.org/officeDocument/2006/relationships/hyperlink" Target="mailto:adcorten@yahoo.co.uk" TargetMode="External"/><Relationship Id="rId40" Type="http://schemas.openxmlformats.org/officeDocument/2006/relationships/hyperlink" Target="mailto:niels.hintzen@wur.nl" TargetMode="External"/><Relationship Id="rId45" Type="http://schemas.openxmlformats.org/officeDocument/2006/relationships/hyperlink" Target="mailto:geoff.tingley@mpi.govt.nz" TargetMode="External"/><Relationship Id="rId53" Type="http://schemas.openxmlformats.org/officeDocument/2006/relationships/hyperlink" Target="mailto:mperalta@institutopesca.gob.ec" TargetMode="External"/><Relationship Id="rId58" Type="http://schemas.openxmlformats.org/officeDocument/2006/relationships/hyperlink" Target="mailto:tdioses@imarpe.gob.pe" TargetMode="External"/><Relationship Id="rId66" Type="http://schemas.openxmlformats.org/officeDocument/2006/relationships/hyperlink" Target="mailto:snpnet@snp.org.pe" TargetMode="External"/><Relationship Id="rId74" Type="http://schemas.openxmlformats.org/officeDocument/2006/relationships/hyperlink" Target="mailto:steve.teo@noaa.gov" TargetMode="External"/><Relationship Id="rId79" Type="http://schemas.openxmlformats.org/officeDocument/2006/relationships/hyperlink" Target="mailto:andy.smith@nn.talleys.co.nz"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mailto:snpnet@snp.org.pe" TargetMode="External"/><Relationship Id="rId82" Type="http://schemas.openxmlformats.org/officeDocument/2006/relationships/hyperlink" Target="mailto:lvandermeer@oceana.org" TargetMode="External"/><Relationship Id="rId90" Type="http://schemas.openxmlformats.org/officeDocument/2006/relationships/footer" Target="footer2.xml"/><Relationship Id="rId19" Type="http://schemas.openxmlformats.org/officeDocument/2006/relationships/hyperlink" Target="mailto:asepulveda@inpesca.cl" TargetMode="External"/><Relationship Id="rId14" Type="http://schemas.openxmlformats.org/officeDocument/2006/relationships/hyperlink" Target="mailto:matthew.flood@agriculture.gov.au" TargetMode="External"/><Relationship Id="rId22" Type="http://schemas.openxmlformats.org/officeDocument/2006/relationships/hyperlink" Target="mailto:cristian.canales@ifop.cl" TargetMode="External"/><Relationship Id="rId27" Type="http://schemas.openxmlformats.org/officeDocument/2006/relationships/hyperlink" Target="mailto:shernandez@subpesca.cl" TargetMode="External"/><Relationship Id="rId30" Type="http://schemas.openxmlformats.org/officeDocument/2006/relationships/hyperlink" Target="mailto:cristian.canales@ifop.cl" TargetMode="External"/><Relationship Id="rId35" Type="http://schemas.openxmlformats.org/officeDocument/2006/relationships/hyperlink" Target="mailto:rafael.duarte@ec.europa.eu" TargetMode="External"/><Relationship Id="rId43" Type="http://schemas.openxmlformats.org/officeDocument/2006/relationships/hyperlink" Target="mailto:jiwon.yoon@ififc.org" TargetMode="External"/><Relationship Id="rId48" Type="http://schemas.openxmlformats.org/officeDocument/2006/relationships/hyperlink" Target="mailto:cschen@mail.ntou.edu" TargetMode="External"/><Relationship Id="rId56" Type="http://schemas.openxmlformats.org/officeDocument/2006/relationships/hyperlink" Target="mailto:tdioses@imarpe.gob.pe" TargetMode="External"/><Relationship Id="rId64" Type="http://schemas.openxmlformats.org/officeDocument/2006/relationships/hyperlink" Target="mailto:snpnet@snp.org.pe" TargetMode="External"/><Relationship Id="rId69" Type="http://schemas.openxmlformats.org/officeDocument/2006/relationships/hyperlink" Target="mailto:michael.tosatto@noaa.gov" TargetMode="External"/><Relationship Id="rId77" Type="http://schemas.openxmlformats.org/officeDocument/2006/relationships/hyperlink" Target="mailto:mmaunder@iattc.org" TargetMode="External"/><Relationship Id="rId8" Type="http://schemas.openxmlformats.org/officeDocument/2006/relationships/image" Target="media/image2.png"/><Relationship Id="rId51" Type="http://schemas.openxmlformats.org/officeDocument/2006/relationships/hyperlink" Target="mailto:direccion_inp@institutopesca.gob.ec" TargetMode="External"/><Relationship Id="rId72" Type="http://schemas.openxmlformats.org/officeDocument/2006/relationships/hyperlink" Target="mailto:zora.mcginnis@noaa.gov" TargetMode="External"/><Relationship Id="rId80" Type="http://schemas.openxmlformats.org/officeDocument/2006/relationships/hyperlink" Target="mailto:gjp@sealord.co.nz" TargetMode="External"/><Relationship Id="rId85" Type="http://schemas.openxmlformats.org/officeDocument/2006/relationships/image" Target="media/image4.png"/><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robertolicandeo@gmail.com" TargetMode="External"/><Relationship Id="rId17" Type="http://schemas.openxmlformats.org/officeDocument/2006/relationships/hyperlink" Target="mailto:andrescouve@entelchile.net" TargetMode="External"/><Relationship Id="rId25" Type="http://schemas.openxmlformats.org/officeDocument/2006/relationships/hyperlink" Target="mailto:mbarbieri@subpesca.cl" TargetMode="External"/><Relationship Id="rId33" Type="http://schemas.openxmlformats.org/officeDocument/2006/relationships/hyperlink" Target="mailto:rodoflo.serra@ifop.cl" TargetMode="External"/><Relationship Id="rId38" Type="http://schemas.openxmlformats.org/officeDocument/2006/relationships/hyperlink" Target="mailto:adcorten@yahoo.co.uk" TargetMode="External"/><Relationship Id="rId46" Type="http://schemas.openxmlformats.org/officeDocument/2006/relationships/hyperlink" Target="mailto:glubokov@vniro.ru" TargetMode="External"/><Relationship Id="rId59" Type="http://schemas.openxmlformats.org/officeDocument/2006/relationships/hyperlink" Target="mailto:mniquen@imarpe.gob.pe" TargetMode="External"/><Relationship Id="rId67" Type="http://schemas.openxmlformats.org/officeDocument/2006/relationships/hyperlink" Target="mailto:gerard.dinardo@noaa.gov" TargetMode="External"/><Relationship Id="rId20" Type="http://schemas.openxmlformats.org/officeDocument/2006/relationships/hyperlink" Target="mailto:aguerrero@subpesca.cl" TargetMode="External"/><Relationship Id="rId41" Type="http://schemas.openxmlformats.org/officeDocument/2006/relationships/hyperlink" Target="mailto:niels.hintzen@wur.nl" TargetMode="External"/><Relationship Id="rId54" Type="http://schemas.openxmlformats.org/officeDocument/2006/relationships/hyperlink" Target="mailto:jorge.csirke@gmail.com" TargetMode="External"/><Relationship Id="rId62" Type="http://schemas.openxmlformats.org/officeDocument/2006/relationships/hyperlink" Target="mailto:fsarmiento41@gmail.com" TargetMode="External"/><Relationship Id="rId70" Type="http://schemas.openxmlformats.org/officeDocument/2006/relationships/hyperlink" Target="mailto:rini.ghosh@noaa.gov" TargetMode="External"/><Relationship Id="rId75" Type="http://schemas.openxmlformats.org/officeDocument/2006/relationships/hyperlink" Target="mailto:mafavero@icloud.com" TargetMode="External"/><Relationship Id="rId83" Type="http://schemas.openxmlformats.org/officeDocument/2006/relationships/hyperlink" Target="mailto:harancib@udec.cl"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icampodo@subpesca.cl" TargetMode="External"/><Relationship Id="rId23" Type="http://schemas.openxmlformats.org/officeDocument/2006/relationships/hyperlink" Target="mailto:aguerrero@subpesca.cl" TargetMode="External"/><Relationship Id="rId28" Type="http://schemas.openxmlformats.org/officeDocument/2006/relationships/hyperlink" Target="mailto:albarthur@gmail.com" TargetMode="External"/><Relationship Id="rId36" Type="http://schemas.openxmlformats.org/officeDocument/2006/relationships/hyperlink" Target="mailto:niels.hintzen@wur.nl" TargetMode="External"/><Relationship Id="rId49" Type="http://schemas.openxmlformats.org/officeDocument/2006/relationships/hyperlink" Target="mailto:bruce@mail.ndhu.edu.tw" TargetMode="External"/><Relationship Id="rId57" Type="http://schemas.openxmlformats.org/officeDocument/2006/relationships/hyperlink" Target="mailto:tdioses@imarpe.gob.pe" TargetMode="External"/><Relationship Id="rId10" Type="http://schemas.openxmlformats.org/officeDocument/2006/relationships/hyperlink" Target="mailto:jim.ianelli@noaa.gov" TargetMode="External"/><Relationship Id="rId31" Type="http://schemas.openxmlformats.org/officeDocument/2006/relationships/hyperlink" Target="mailto:andrescouve@entelchile.net" TargetMode="External"/><Relationship Id="rId44" Type="http://schemas.openxmlformats.org/officeDocument/2006/relationships/hyperlink" Target="mailto:geoff.tingley@mpi.govt.nz" TargetMode="External"/><Relationship Id="rId52" Type="http://schemas.openxmlformats.org/officeDocument/2006/relationships/hyperlink" Target="mailto:vjurado@institutopesca.gob.ec" TargetMode="External"/><Relationship Id="rId60" Type="http://schemas.openxmlformats.org/officeDocument/2006/relationships/hyperlink" Target="mailto:rguevara@imarpe.gob.pe" TargetMode="External"/><Relationship Id="rId65" Type="http://schemas.openxmlformats.org/officeDocument/2006/relationships/hyperlink" Target="mailto:snpnet@snp.org.pe" TargetMode="External"/><Relationship Id="rId73" Type="http://schemas.openxmlformats.org/officeDocument/2006/relationships/hyperlink" Target="mailto:ptrillo@irea.org.pe" TargetMode="External"/><Relationship Id="rId78" Type="http://schemas.openxmlformats.org/officeDocument/2006/relationships/hyperlink" Target="mailto:watling@hawaii.edu" TargetMode="External"/><Relationship Id="rId81" Type="http://schemas.openxmlformats.org/officeDocument/2006/relationships/hyperlink" Target="mailto:r_shotten@hotmail.com" TargetMode="External"/><Relationship Id="rId86" Type="http://schemas.openxmlformats.org/officeDocument/2006/relationships/image" Target="media/image5.emf"/><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10979</Words>
  <Characters>62582</Characters>
  <Application>Microsoft Office Word</Application>
  <DocSecurity>0</DocSecurity>
  <Lines>521</Lines>
  <Paragraphs>146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SC-02 2014 - Draft Report.docx.docx</vt:lpstr>
      <vt:lpstr>SC-02 2014 - Draft Report.docx.docx</vt:lpstr>
    </vt:vector>
  </TitlesOfParts>
  <Company>Acer</Company>
  <LinksUpToDate>false</LinksUpToDate>
  <CharactersWithSpaces>73415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SC-02 2014 - Draft Report.docx.docx</dc:title>
  <dc:creator>KOODEX</dc:creator>
  <cp:lastModifiedBy>Susana Delgado</cp:lastModifiedBy>
  <cp:revision>4</cp:revision>
  <dcterms:created xsi:type="dcterms:W3CDTF">2014-10-08T02:26:00Z</dcterms:created>
  <dcterms:modified xsi:type="dcterms:W3CDTF">2014-10-07T10:44:00Z</dcterms:modified>
</cp:coreProperties>
</file>