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895" w:rsidRPr="005B164D" w:rsidRDefault="00A17895" w:rsidP="00A17895">
      <w:pPr>
        <w:jc w:val="center"/>
        <w:rPr>
          <w:rFonts w:ascii="Calibri,Bold" w:hAnsi="Calibri,Bold" w:cs="Calibri,Bold"/>
          <w:b/>
          <w:bCs/>
        </w:rPr>
      </w:pPr>
      <w:r>
        <w:rPr>
          <w:rFonts w:ascii="Calibri,Bold" w:hAnsi="Calibri,Bold" w:cs="Calibri,Bold"/>
          <w:b/>
          <w:bCs/>
        </w:rPr>
        <w:t>4</w:t>
      </w:r>
      <w:r>
        <w:rPr>
          <w:rFonts w:ascii="Calibri,Bold" w:hAnsi="Calibri,Bold" w:cs="Calibri,Bold"/>
          <w:b/>
          <w:bCs/>
          <w:vertAlign w:val="superscript"/>
        </w:rPr>
        <w:t>th</w:t>
      </w:r>
      <w:r w:rsidRPr="005B164D">
        <w:rPr>
          <w:rFonts w:ascii="Calibri,Bold" w:hAnsi="Calibri,Bold" w:cs="Calibri,Bold"/>
          <w:b/>
          <w:bCs/>
        </w:rPr>
        <w:t xml:space="preserve"> Meeting of the Scientific Committee </w:t>
      </w:r>
    </w:p>
    <w:p w:rsidR="00A17895" w:rsidRPr="00725133" w:rsidRDefault="00A17895" w:rsidP="00A17895">
      <w:pPr>
        <w:jc w:val="center"/>
      </w:pPr>
      <w:r>
        <w:t>The Hague, Kingdom of the Netherlands</w:t>
      </w:r>
      <w:r>
        <w:br/>
        <w:t xml:space="preserve">10 </w:t>
      </w:r>
      <w:r w:rsidRPr="00E10B56">
        <w:t>-</w:t>
      </w:r>
      <w:r>
        <w:t xml:space="preserve"> 15 October 2016</w:t>
      </w:r>
    </w:p>
    <w:p w:rsidR="001A3971" w:rsidRDefault="001A3971" w:rsidP="00A17895">
      <w:pPr>
        <w:jc w:val="center"/>
        <w:rPr>
          <w:rFonts w:cs="Arial"/>
          <w:b/>
          <w:sz w:val="24"/>
          <w:szCs w:val="24"/>
        </w:rPr>
      </w:pPr>
    </w:p>
    <w:p w:rsidR="00A17895" w:rsidRPr="00AD45D0" w:rsidRDefault="00A17895" w:rsidP="00A17895">
      <w:pPr>
        <w:jc w:val="center"/>
        <w:rPr>
          <w:rFonts w:cs="Arial"/>
          <w:b/>
          <w:sz w:val="24"/>
          <w:szCs w:val="24"/>
        </w:rPr>
      </w:pPr>
      <w:r>
        <w:rPr>
          <w:rFonts w:cs="Arial"/>
          <w:b/>
          <w:sz w:val="24"/>
          <w:szCs w:val="24"/>
        </w:rPr>
        <w:t>SC-04-</w:t>
      </w:r>
      <w:r w:rsidR="00473872">
        <w:rPr>
          <w:rFonts w:cs="Arial"/>
          <w:b/>
          <w:sz w:val="24"/>
          <w:szCs w:val="24"/>
        </w:rPr>
        <w:t>25</w:t>
      </w:r>
      <w:r w:rsidR="004F364A">
        <w:rPr>
          <w:rFonts w:cs="Arial"/>
          <w:b/>
          <w:sz w:val="24"/>
          <w:szCs w:val="24"/>
        </w:rPr>
        <w:t>_rev1</w:t>
      </w:r>
    </w:p>
    <w:p w:rsidR="00A17895" w:rsidRDefault="00A17895" w:rsidP="00A17895">
      <w:pPr>
        <w:pBdr>
          <w:bottom w:val="single" w:sz="4" w:space="1" w:color="auto"/>
        </w:pBdr>
        <w:jc w:val="center"/>
        <w:rPr>
          <w:rFonts w:cs="Arial"/>
          <w:b/>
          <w:sz w:val="24"/>
          <w:szCs w:val="24"/>
        </w:rPr>
      </w:pPr>
      <w:r w:rsidRPr="00A17895">
        <w:rPr>
          <w:rFonts w:cs="Arial"/>
          <w:b/>
          <w:sz w:val="24"/>
          <w:szCs w:val="24"/>
        </w:rPr>
        <w:t>Secretariat</w:t>
      </w:r>
      <w:r w:rsidR="005F4B85">
        <w:rPr>
          <w:rFonts w:cs="Arial"/>
          <w:b/>
          <w:sz w:val="24"/>
          <w:szCs w:val="24"/>
        </w:rPr>
        <w:t>’s</w:t>
      </w:r>
      <w:r w:rsidRPr="00A17895">
        <w:rPr>
          <w:rFonts w:cs="Arial"/>
          <w:b/>
          <w:sz w:val="24"/>
          <w:szCs w:val="24"/>
        </w:rPr>
        <w:t xml:space="preserve"> Scientific Committee related activities</w:t>
      </w:r>
    </w:p>
    <w:p w:rsidR="00A17895" w:rsidRPr="004A2D5D" w:rsidRDefault="00A17895" w:rsidP="00A17895">
      <w:pPr>
        <w:pBdr>
          <w:bottom w:val="single" w:sz="4" w:space="1" w:color="auto"/>
        </w:pBdr>
        <w:jc w:val="center"/>
        <w:rPr>
          <w:rFonts w:cs="Arial"/>
          <w:b/>
          <w:i/>
          <w:sz w:val="24"/>
          <w:szCs w:val="24"/>
        </w:rPr>
      </w:pPr>
      <w:r>
        <w:rPr>
          <w:rFonts w:cs="Arial"/>
          <w:b/>
          <w:i/>
          <w:sz w:val="24"/>
          <w:szCs w:val="24"/>
        </w:rPr>
        <w:t>Secretariat</w:t>
      </w:r>
    </w:p>
    <w:p w:rsidR="004E6E93" w:rsidRPr="004E6E93" w:rsidRDefault="004E6E93" w:rsidP="004E6E93"/>
    <w:p w:rsidR="00762B1D" w:rsidRDefault="00A17895" w:rsidP="004E6E93">
      <w:r>
        <w:t>This paper informs the SC about relevant m</w:t>
      </w:r>
      <w:r w:rsidR="00762B1D">
        <w:t xml:space="preserve">eetings that the Secretariat has attended and summarises responses to data requests received within the last year.  </w:t>
      </w:r>
    </w:p>
    <w:p w:rsidR="004E6E93" w:rsidRDefault="00E9261B" w:rsidP="00E9261B">
      <w:pPr>
        <w:pStyle w:val="Heading1"/>
      </w:pPr>
      <w:r>
        <w:t>Meetings</w:t>
      </w:r>
    </w:p>
    <w:p w:rsidR="004E6E93" w:rsidRDefault="00A86F8B" w:rsidP="00A86F8B">
      <w:pPr>
        <w:tabs>
          <w:tab w:val="left" w:pos="426"/>
        </w:tabs>
        <w:ind w:left="426" w:hanging="426"/>
      </w:pPr>
      <w:r w:rsidRPr="005D5FFD">
        <w:rPr>
          <w:b/>
        </w:rPr>
        <w:t>The Sustainable Ocean Initiative Global Dialogue with Regional Seas Organisations and Regional Fisheries Bodies on “</w:t>
      </w:r>
      <w:hyperlink r:id="rId8" w:history="1">
        <w:r w:rsidRPr="00A37B08">
          <w:rPr>
            <w:rStyle w:val="Hyperlink"/>
            <w:rFonts w:cstheme="minorBidi"/>
            <w:b/>
          </w:rPr>
          <w:t>Accelerating Progress towards the Aichi Biodiversity Targets</w:t>
        </w:r>
      </w:hyperlink>
      <w:r w:rsidRPr="00A86F8B">
        <w:t>"</w:t>
      </w:r>
      <w:r>
        <w:t xml:space="preserve">, 26-29 September 2016, Seoul, Korea. The Executive Secretary </w:t>
      </w:r>
      <w:r w:rsidR="005D5FFD">
        <w:t>will attend this meeting, spons</w:t>
      </w:r>
      <w:r w:rsidR="00AE6477">
        <w:t xml:space="preserve">ored by the government of Korea and provide an oral report to the SC. </w:t>
      </w:r>
    </w:p>
    <w:p w:rsidR="00D31157" w:rsidRPr="004E6E93" w:rsidRDefault="00D31157" w:rsidP="00A86F8B">
      <w:pPr>
        <w:tabs>
          <w:tab w:val="left" w:pos="426"/>
        </w:tabs>
        <w:ind w:left="426" w:hanging="426"/>
      </w:pPr>
    </w:p>
    <w:p w:rsidR="004E6E93" w:rsidRPr="004E6E93" w:rsidRDefault="002454BE" w:rsidP="004E6E93">
      <w:pPr>
        <w:ind w:left="426" w:hanging="426"/>
        <w:rPr>
          <w:b/>
        </w:rPr>
      </w:pPr>
      <w:hyperlink r:id="rId9" w:history="1">
        <w:r w:rsidR="004E6E93" w:rsidRPr="004E6E93">
          <w:rPr>
            <w:rStyle w:val="Hyperlink"/>
            <w:rFonts w:cstheme="minorBidi"/>
            <w:b/>
          </w:rPr>
          <w:t>United Nations Workshop</w:t>
        </w:r>
      </w:hyperlink>
      <w:r w:rsidR="004E6E93" w:rsidRPr="004E6E93">
        <w:rPr>
          <w:b/>
        </w:rPr>
        <w:t xml:space="preserve"> to discuss implementation of paragraphs 113, 117 and 119 to 124 of resolution 64/72 and paragraphs 121, 126, 129, 130 and 132 to 134 of resolution 66/68 on Sustainable Fisheries, addressing the impacts of bottom fishing on vulnerable marine ecosystems and the long-term sustainability of deep-sea fish stocks. </w:t>
      </w:r>
      <w:r w:rsidR="004E6E93" w:rsidRPr="004E6E93">
        <w:t>1-2 August 2016, New York, USA.</w:t>
      </w:r>
      <w:r w:rsidR="004E6E93" w:rsidRPr="004E6E93">
        <w:rPr>
          <w:b/>
        </w:rPr>
        <w:t xml:space="preserve"> </w:t>
      </w:r>
    </w:p>
    <w:p w:rsidR="004E6E93" w:rsidRDefault="004E6E93" w:rsidP="004E6E93">
      <w:pPr>
        <w:ind w:left="426"/>
      </w:pPr>
      <w:r w:rsidRPr="004E6E93">
        <w:t xml:space="preserve">The workshop was </w:t>
      </w:r>
      <w:r>
        <w:t>moderated</w:t>
      </w:r>
      <w:r w:rsidRPr="004E6E93">
        <w:t xml:space="preserve"> by Mr. Osvaldo Urrutia (Chile), Vice-Chair of the Commission and Chair of the CTC. Several SPRFMO Members attended the workshop and some also engaged as panellists, in particular Australia, Chile, European Union, and Korea. The Executive Secretary attended as a panellist of Segment 4 on "Progress made by regional fisheries management organisations and arrangements in addressing the impacts of bottom fisheries on vulnerable marine ecosystems and the long term sustainability of deep-sea fish stocks, in particular through the implementation of relevant paragraphs of resolutions 64/72 and 66/68". She reported on "</w:t>
      </w:r>
      <w:hyperlink r:id="rId10" w:history="1">
        <w:r w:rsidRPr="00384AD5">
          <w:rPr>
            <w:rStyle w:val="Hyperlink"/>
            <w:rFonts w:cstheme="minorBidi"/>
          </w:rPr>
          <w:t>Bottom Fishing Measures of the SPRFMO</w:t>
        </w:r>
      </w:hyperlink>
      <w:r w:rsidRPr="004E6E93">
        <w:t xml:space="preserve">". </w:t>
      </w:r>
    </w:p>
    <w:p w:rsidR="004E6E93" w:rsidRDefault="004E6E93" w:rsidP="004E6E93">
      <w:pPr>
        <w:ind w:left="426"/>
      </w:pPr>
      <w:r>
        <w:t>The Secretariat would like to highlight two segments that might be of particular interest to the SC</w:t>
      </w:r>
      <w:r w:rsidR="003878E4">
        <w:t xml:space="preserve"> (names of panellists and their</w:t>
      </w:r>
      <w:r w:rsidR="00EB5048">
        <w:t xml:space="preserve"> presentations can be found on the </w:t>
      </w:r>
      <w:hyperlink r:id="rId11" w:history="1">
        <w:r w:rsidR="00EB5048" w:rsidRPr="007E0AD4">
          <w:rPr>
            <w:rStyle w:val="Hyperlink"/>
            <w:rFonts w:cstheme="minorBidi"/>
          </w:rPr>
          <w:t>website</w:t>
        </w:r>
      </w:hyperlink>
      <w:r w:rsidR="003878E4">
        <w:t>):</w:t>
      </w:r>
      <w:r>
        <w:t xml:space="preserve"> </w:t>
      </w:r>
    </w:p>
    <w:p w:rsidR="007F638A" w:rsidRDefault="007F638A" w:rsidP="000865CD">
      <w:pPr>
        <w:pStyle w:val="ListParagraph"/>
        <w:numPr>
          <w:ilvl w:val="0"/>
          <w:numId w:val="7"/>
        </w:numPr>
        <w:rPr>
          <w:i/>
        </w:rPr>
      </w:pPr>
      <w:r>
        <w:rPr>
          <w:u w:val="single"/>
        </w:rPr>
        <w:t xml:space="preserve">Segment 1. </w:t>
      </w:r>
      <w:r w:rsidR="004E6E93" w:rsidRPr="007F638A">
        <w:rPr>
          <w:u w:val="single"/>
        </w:rPr>
        <w:t>Impacts of bottom fisheries on vulnerable marine ecosystems and the long-term sustainability of deep-sea fish stocks</w:t>
      </w:r>
      <w:r w:rsidR="004E6E93">
        <w:t>.</w:t>
      </w:r>
      <w:r>
        <w:t xml:space="preserve"> Panellists and participants highlighted the need for more research and data for deep-sea ecosystems but also noted that the scale of bottom fishing was declining and remained small in comparison with other fisheries. They also acknowledged good overall progress in the implementation of the International Guidelines for Management of Deep-sea Fisheries in the High Seas but noted that some areas where progress was still needed</w:t>
      </w:r>
      <w:r w:rsidRPr="007F638A">
        <w:t xml:space="preserve">, including </w:t>
      </w:r>
      <w:r w:rsidR="004C3F3C" w:rsidRPr="007F638A">
        <w:t>in regards to assessments of cumulative impacts, seabed mapping, threshold-level determination, encounter protocols, footprint determination, and understanding of the nature of VMEs.</w:t>
      </w:r>
      <w:r w:rsidR="004C3F3C" w:rsidRPr="007F638A">
        <w:rPr>
          <w:i/>
        </w:rPr>
        <w:t xml:space="preserve"> </w:t>
      </w:r>
      <w:r>
        <w:rPr>
          <w:i/>
        </w:rPr>
        <w:t xml:space="preserve"> </w:t>
      </w:r>
    </w:p>
    <w:p w:rsidR="004E6E93" w:rsidRPr="001E01F6" w:rsidRDefault="007F638A" w:rsidP="001E01F6">
      <w:pPr>
        <w:pStyle w:val="ListParagraph"/>
        <w:numPr>
          <w:ilvl w:val="0"/>
          <w:numId w:val="7"/>
        </w:numPr>
      </w:pPr>
      <w:r w:rsidRPr="007F638A">
        <w:rPr>
          <w:u w:val="single"/>
        </w:rPr>
        <w:t xml:space="preserve">Segment 4. </w:t>
      </w:r>
      <w:r w:rsidR="003C7CE9" w:rsidRPr="007F638A">
        <w:rPr>
          <w:u w:val="single"/>
        </w:rPr>
        <w:t>Progress made by regional fisheries management organizations and arrange</w:t>
      </w:r>
      <w:r w:rsidRPr="007F638A">
        <w:rPr>
          <w:u w:val="single"/>
        </w:rPr>
        <w:softHyphen/>
      </w:r>
      <w:r w:rsidR="003C7CE9" w:rsidRPr="007F638A">
        <w:rPr>
          <w:u w:val="single"/>
        </w:rPr>
        <w:t>ments in addressing the impacts of bottom fisheries on vulnerable marine ecosystems and the long-term sustainability of deep-sea fish stocks, in particular through the implementation of relevant paragraphs</w:t>
      </w:r>
      <w:r>
        <w:rPr>
          <w:u w:val="single"/>
        </w:rPr>
        <w:t xml:space="preserve"> of resolutions 64/72 and 66/68</w:t>
      </w:r>
      <w:r w:rsidRPr="007F638A">
        <w:t>.</w:t>
      </w:r>
      <w:r w:rsidRPr="009B2991">
        <w:t xml:space="preserve"> </w:t>
      </w:r>
      <w:r w:rsidR="009B2991">
        <w:t>Panellists described the me</w:t>
      </w:r>
      <w:r>
        <w:t>asures taken by RFMOs</w:t>
      </w:r>
      <w:r w:rsidR="009B2991">
        <w:t>,</w:t>
      </w:r>
      <w:r>
        <w:t xml:space="preserve"> </w:t>
      </w:r>
      <w:r w:rsidR="009B2991">
        <w:t xml:space="preserve">including: </w:t>
      </w:r>
      <w:r w:rsidR="009B2991" w:rsidRPr="009B2991">
        <w:t>the establishment of fishing footprint</w:t>
      </w:r>
      <w:r w:rsidR="009B2991">
        <w:t>s</w:t>
      </w:r>
      <w:r w:rsidR="009B2991" w:rsidRPr="009B2991">
        <w:t xml:space="preserve">; exploratory fisheries protocols and impact assessments; VME identification and closures; development of encounter protocols; fish stock assessments; compulsory observer coverage; and the periodic review of </w:t>
      </w:r>
      <w:r w:rsidR="009B2991" w:rsidRPr="009B2991">
        <w:lastRenderedPageBreak/>
        <w:t>adopted measures</w:t>
      </w:r>
      <w:r w:rsidR="009B2991">
        <w:t xml:space="preserve">. </w:t>
      </w:r>
      <w:r w:rsidR="009B2991" w:rsidRPr="00EC3810">
        <w:rPr>
          <w:i/>
        </w:rPr>
        <w:t>Commonalities amongst the issues faced by RFMO/As in implementing the resolutions identified by participants included the paucity of scientific information, difficulties in the collection and sharing of data, and the challenges of ensuring an effective science-policy interface.</w:t>
      </w:r>
      <w:r w:rsidR="009B2991" w:rsidRPr="009B2991">
        <w:rPr>
          <w:i/>
        </w:rPr>
        <w:t xml:space="preserve"> </w:t>
      </w:r>
      <w:r w:rsidR="009B2991" w:rsidRPr="00EC3810">
        <w:rPr>
          <w:i/>
        </w:rPr>
        <w:t>Some participants underlined the need for collaboration among RFMO/As and between scientists across regions.</w:t>
      </w:r>
      <w:r w:rsidR="009B2991" w:rsidRPr="009B2991">
        <w:rPr>
          <w:i/>
        </w:rPr>
        <w:t xml:space="preserve"> </w:t>
      </w:r>
      <w:r w:rsidR="009B2991" w:rsidRPr="009B2991">
        <w:t>The ongoing dialogue between scientists and managers, as well as the need to enhance such dialogue, was emphasized. It was noted that more research was needed with regard to the effectiveness of fisheries closures for the improvement of ecosystem resilience.</w:t>
      </w:r>
      <w:r w:rsidR="009B2991">
        <w:t xml:space="preserve"> T</w:t>
      </w:r>
      <w:r w:rsidR="009B2991" w:rsidRPr="009B2991">
        <w:t xml:space="preserve">he development of an international legally binding instrument under UNCLOS on the </w:t>
      </w:r>
      <w:r w:rsidR="009B2991">
        <w:t>C</w:t>
      </w:r>
      <w:r w:rsidR="009B2991" w:rsidRPr="009B2991">
        <w:t xml:space="preserve">onservation and </w:t>
      </w:r>
      <w:r w:rsidR="009B2991">
        <w:t>S</w:t>
      </w:r>
      <w:r w:rsidR="009B2991" w:rsidRPr="009B2991">
        <w:t xml:space="preserve">ustainable </w:t>
      </w:r>
      <w:r w:rsidR="009B2991">
        <w:t>U</w:t>
      </w:r>
      <w:r w:rsidR="009B2991" w:rsidRPr="009B2991">
        <w:t xml:space="preserve">se of </w:t>
      </w:r>
      <w:r w:rsidR="009B2991">
        <w:t>M</w:t>
      </w:r>
      <w:r w:rsidR="009B2991" w:rsidRPr="009B2991">
        <w:t xml:space="preserve">arine </w:t>
      </w:r>
      <w:r w:rsidR="009B2991">
        <w:t>B</w:t>
      </w:r>
      <w:r w:rsidR="009B2991" w:rsidRPr="009B2991">
        <w:t xml:space="preserve">iological </w:t>
      </w:r>
      <w:r w:rsidR="009B2991">
        <w:t>D</w:t>
      </w:r>
      <w:r w:rsidR="009B2991" w:rsidRPr="009B2991">
        <w:t xml:space="preserve">iversity of </w:t>
      </w:r>
      <w:r w:rsidR="009B2991">
        <w:t>A</w:t>
      </w:r>
      <w:r w:rsidR="009B2991" w:rsidRPr="009B2991">
        <w:t xml:space="preserve">reas </w:t>
      </w:r>
      <w:r w:rsidR="009B2991">
        <w:t>B</w:t>
      </w:r>
      <w:r w:rsidR="009B2991" w:rsidRPr="009B2991">
        <w:t xml:space="preserve">eyond </w:t>
      </w:r>
      <w:r w:rsidR="009B2991">
        <w:t>N</w:t>
      </w:r>
      <w:r w:rsidR="009B2991" w:rsidRPr="009B2991">
        <w:t xml:space="preserve">ational </w:t>
      </w:r>
      <w:r w:rsidR="009B2991">
        <w:t>J</w:t>
      </w:r>
      <w:r w:rsidR="009B2991" w:rsidRPr="009B2991">
        <w:t>urisdiction (BBNJ</w:t>
      </w:r>
      <w:r w:rsidR="009B2991">
        <w:t xml:space="preserve">, </w:t>
      </w:r>
      <w:r w:rsidR="009B2991" w:rsidRPr="009B2991">
        <w:t>General Assembly resolution 69/292)</w:t>
      </w:r>
      <w:r w:rsidR="009B2991">
        <w:t xml:space="preserve"> was noted</w:t>
      </w:r>
      <w:r w:rsidR="001E01F6">
        <w:t xml:space="preserve">. Also, </w:t>
      </w:r>
      <w:r w:rsidR="001E01F6" w:rsidRPr="001E01F6">
        <w:t>t</w:t>
      </w:r>
      <w:r w:rsidR="00EC3810" w:rsidRPr="001E01F6">
        <w:t>he importance of sharing information and experiences amongst different RFMO/As</w:t>
      </w:r>
      <w:r w:rsidR="001E01F6">
        <w:t xml:space="preserve"> </w:t>
      </w:r>
      <w:r w:rsidR="00EC3810" w:rsidRPr="001E01F6">
        <w:t>was underlined</w:t>
      </w:r>
      <w:r w:rsidR="001E01F6">
        <w:t>,</w:t>
      </w:r>
      <w:r w:rsidR="00EC3810" w:rsidRPr="001E01F6">
        <w:t xml:space="preserve"> including </w:t>
      </w:r>
      <w:r w:rsidR="001E01F6">
        <w:t xml:space="preserve">through: </w:t>
      </w:r>
      <w:r w:rsidR="00EC3810" w:rsidRPr="001E01F6">
        <w:t>informal cooperation at the secretariat level</w:t>
      </w:r>
      <w:r w:rsidR="001E01F6">
        <w:t xml:space="preserve"> (e.g.</w:t>
      </w:r>
      <w:r w:rsidR="00EC3810" w:rsidRPr="001E01F6">
        <w:t xml:space="preserve"> Regional Fish</w:t>
      </w:r>
      <w:r w:rsidR="001E01F6">
        <w:t xml:space="preserve">ery Body Secretariats’ Network, </w:t>
      </w:r>
      <w:r w:rsidR="00EC3810" w:rsidRPr="001E01F6">
        <w:t>RSN)</w:t>
      </w:r>
      <w:r w:rsidR="001E01F6">
        <w:t xml:space="preserve">; participation in the </w:t>
      </w:r>
      <w:r w:rsidR="00EC3810" w:rsidRPr="001E01F6">
        <w:t>ABNJ Deep-sea Project</w:t>
      </w:r>
      <w:r w:rsidR="001E01F6">
        <w:t>;</w:t>
      </w:r>
      <w:r w:rsidR="00EC3810" w:rsidRPr="001E01F6">
        <w:t xml:space="preserve"> formal bilateral cooperation amongst RFMO/As or </w:t>
      </w:r>
      <w:r w:rsidR="001E01F6">
        <w:t>related bodies</w:t>
      </w:r>
      <w:r w:rsidR="00EC3810" w:rsidRPr="001E01F6">
        <w:t xml:space="preserve"> through </w:t>
      </w:r>
      <w:r w:rsidR="001E01F6">
        <w:t>M</w:t>
      </w:r>
      <w:r w:rsidR="00EC3810" w:rsidRPr="001E01F6">
        <w:t xml:space="preserve">emoranda of </w:t>
      </w:r>
      <w:r w:rsidR="001E01F6">
        <w:t>U</w:t>
      </w:r>
      <w:r w:rsidR="00EC3810" w:rsidRPr="001E01F6">
        <w:t>nderstanding (MOUs)</w:t>
      </w:r>
      <w:r w:rsidR="001E01F6">
        <w:t>;</w:t>
      </w:r>
      <w:r w:rsidR="00EC3810" w:rsidRPr="001E01F6">
        <w:t xml:space="preserve"> </w:t>
      </w:r>
      <w:r w:rsidR="001E01F6" w:rsidRPr="001E01F6">
        <w:t>cooperation in stock assessment and capacity-building</w:t>
      </w:r>
      <w:r w:rsidR="001E01F6">
        <w:t>;</w:t>
      </w:r>
      <w:r w:rsidR="001E01F6" w:rsidRPr="001E01F6">
        <w:t xml:space="preserve"> and sharing of information </w:t>
      </w:r>
      <w:r w:rsidR="001E01F6">
        <w:t>via</w:t>
      </w:r>
      <w:r w:rsidR="001E01F6" w:rsidRPr="001E01F6">
        <w:t xml:space="preserve"> the FAO VME database</w:t>
      </w:r>
      <w:r w:rsidR="00EC3810" w:rsidRPr="001E01F6">
        <w:t xml:space="preserve">. </w:t>
      </w:r>
      <w:r w:rsidR="001E01F6">
        <w:t>In addition, t</w:t>
      </w:r>
      <w:r w:rsidR="00EC3810" w:rsidRPr="001E01F6">
        <w:t>he importance of cooperation between RFMO/As and regional seas programmes and action plans was underlined and, in this regard, activities similar to the ongoing cooperation between NEAFC and OSPAR were suggested for other regions.</w:t>
      </w:r>
    </w:p>
    <w:p w:rsidR="00EC3810" w:rsidRPr="00EC3810" w:rsidRDefault="00EC3810" w:rsidP="00EC3810">
      <w:pPr>
        <w:pStyle w:val="ListParagraph"/>
        <w:ind w:left="786"/>
        <w:rPr>
          <w:i/>
        </w:rPr>
      </w:pPr>
    </w:p>
    <w:p w:rsidR="003C7CE9" w:rsidRDefault="003C7CE9" w:rsidP="004E6E93">
      <w:r>
        <w:t xml:space="preserve">In July 2016, the Executive Secretary attended the 2016 meeting of the </w:t>
      </w:r>
      <w:hyperlink r:id="rId12" w:history="1">
        <w:r w:rsidRPr="000D760D">
          <w:rPr>
            <w:rStyle w:val="Hyperlink"/>
            <w:rFonts w:cstheme="minorBidi"/>
          </w:rPr>
          <w:t>FAO Committee on Fisheries (COFI)</w:t>
        </w:r>
      </w:hyperlink>
      <w:r>
        <w:t>, at the FAO Headquarters in Rome, Italy, and a number of meetings just before and during COFI, including:</w:t>
      </w:r>
    </w:p>
    <w:p w:rsidR="003C7CE9" w:rsidRDefault="002454BE" w:rsidP="008D79CC">
      <w:pPr>
        <w:pStyle w:val="ListParagraph"/>
        <w:numPr>
          <w:ilvl w:val="0"/>
          <w:numId w:val="8"/>
        </w:numPr>
      </w:pPr>
      <w:hyperlink r:id="rId13" w:history="1">
        <w:r w:rsidR="001A3971" w:rsidRPr="001A3971">
          <w:rPr>
            <w:rStyle w:val="Hyperlink"/>
            <w:rFonts w:cstheme="minorBidi"/>
          </w:rPr>
          <w:t>Sixth Meeting of Regional Fishery Body Secretariats Network</w:t>
        </w:r>
      </w:hyperlink>
      <w:r w:rsidR="001A3971" w:rsidRPr="004E6E93">
        <w:t xml:space="preserve"> (RSN-6</w:t>
      </w:r>
      <w:r w:rsidR="001A3971">
        <w:t xml:space="preserve">), </w:t>
      </w:r>
      <w:r w:rsidR="003C7CE9">
        <w:t>9 and 15 July</w:t>
      </w:r>
      <w:r w:rsidR="001A3971">
        <w:t xml:space="preserve"> 2016.</w:t>
      </w:r>
      <w:r w:rsidR="004E6E93" w:rsidRPr="004E6E93">
        <w:t xml:space="preserve"> July: ABNJ Deep Seas Project meeting.</w:t>
      </w:r>
    </w:p>
    <w:p w:rsidR="004E6E93" w:rsidRPr="004E6E93" w:rsidRDefault="004E6E93" w:rsidP="00FB2030">
      <w:pPr>
        <w:pStyle w:val="ListParagraph"/>
        <w:numPr>
          <w:ilvl w:val="0"/>
          <w:numId w:val="8"/>
        </w:numPr>
      </w:pPr>
      <w:r w:rsidRPr="004E6E93">
        <w:t xml:space="preserve">14 July: </w:t>
      </w:r>
      <w:hyperlink r:id="rId14" w:history="1">
        <w:r w:rsidRPr="00B3550A">
          <w:rPr>
            <w:rStyle w:val="Hyperlink"/>
            <w:rFonts w:cstheme="minorBidi"/>
          </w:rPr>
          <w:t>Meeting of</w:t>
        </w:r>
        <w:r w:rsidR="003C7CE9" w:rsidRPr="00B3550A">
          <w:rPr>
            <w:rStyle w:val="Hyperlink"/>
            <w:rFonts w:cstheme="minorBidi"/>
          </w:rPr>
          <w:t xml:space="preserve"> the International MCS Network</w:t>
        </w:r>
      </w:hyperlink>
      <w:r w:rsidR="003C7CE9">
        <w:t>.</w:t>
      </w:r>
    </w:p>
    <w:p w:rsidR="003C7CE9" w:rsidRDefault="002454BE" w:rsidP="00473872">
      <w:pPr>
        <w:ind w:left="567" w:hanging="567"/>
      </w:pPr>
      <w:hyperlink r:id="rId15" w:history="1">
        <w:r w:rsidR="00473872" w:rsidRPr="00384BB3">
          <w:rPr>
            <w:rStyle w:val="Hyperlink"/>
            <w:rFonts w:cstheme="minorBidi"/>
            <w:b/>
          </w:rPr>
          <w:t>5th Global Fisheries Enforcement Training Workshop</w:t>
        </w:r>
      </w:hyperlink>
      <w:r w:rsidR="00473872">
        <w:t>,</w:t>
      </w:r>
      <w:r w:rsidR="00473872" w:rsidRPr="00473872">
        <w:t xml:space="preserve"> </w:t>
      </w:r>
      <w:r w:rsidR="003C7CE9">
        <w:t>7-11 March</w:t>
      </w:r>
      <w:r w:rsidR="00FF5AB1">
        <w:t xml:space="preserve"> 2016</w:t>
      </w:r>
      <w:r w:rsidR="003C7CE9">
        <w:t>, Auckland, New Zealand: The Data Manager participated in this biennial conference intended to improve and enhance capacity and communications between MCS profe</w:t>
      </w:r>
      <w:r w:rsidR="00473872">
        <w:t xml:space="preserve">ssionals from around the world. </w:t>
      </w:r>
      <w:r w:rsidR="003C7CE9">
        <w:t>The programme included International and Regional Cooperation case studies, application of the port State measures agreement, development of an MCS IUU Risk Framework and the FAO Global record of fishing vessels.</w:t>
      </w:r>
    </w:p>
    <w:p w:rsidR="003C7CE9" w:rsidRDefault="00473872" w:rsidP="00473872">
      <w:pPr>
        <w:ind w:left="567" w:hanging="567"/>
      </w:pPr>
      <w:r w:rsidRPr="00762B1D">
        <w:rPr>
          <w:b/>
        </w:rPr>
        <w:t>Regional Data Workshop</w:t>
      </w:r>
      <w:r>
        <w:t>,</w:t>
      </w:r>
      <w:r w:rsidR="008249C7">
        <w:t xml:space="preserve"> </w:t>
      </w:r>
      <w:r w:rsidR="003C7CE9">
        <w:t>22 March</w:t>
      </w:r>
      <w:r w:rsidR="00FF5AB1">
        <w:t xml:space="preserve"> 2016</w:t>
      </w:r>
      <w:r w:rsidR="003C7CE9">
        <w:t xml:space="preserve">, Auckland, New Zealand: The Data Manager participated in this follow-up to the </w:t>
      </w:r>
      <w:hyperlink r:id="rId16" w:history="1">
        <w:r w:rsidR="003C7CE9" w:rsidRPr="00762B1D">
          <w:rPr>
            <w:rStyle w:val="Hyperlink"/>
            <w:rFonts w:cstheme="minorBidi"/>
          </w:rPr>
          <w:t>2nd Regional Info</w:t>
        </w:r>
        <w:r w:rsidR="00303C3C" w:rsidRPr="00762B1D">
          <w:rPr>
            <w:rStyle w:val="Hyperlink"/>
            <w:rFonts w:cstheme="minorBidi"/>
          </w:rPr>
          <w:t>rmation Management workshop</w:t>
        </w:r>
      </w:hyperlink>
      <w:r w:rsidR="00303C3C">
        <w:t xml:space="preserve">. </w:t>
      </w:r>
      <w:r w:rsidR="003C7CE9">
        <w:t xml:space="preserve">The </w:t>
      </w:r>
      <w:r w:rsidR="00B3550A">
        <w:t>Regional data</w:t>
      </w:r>
      <w:r w:rsidR="003C7CE9">
        <w:t xml:space="preserve"> workshop concentrated on current data management practices for the Pacific's tuna fisheries (both State side and RFBs like FFA/SPC/CCSBT/WCPFC) as well as </w:t>
      </w:r>
      <w:r w:rsidR="00B3550A">
        <w:t xml:space="preserve">for </w:t>
      </w:r>
      <w:r w:rsidR="003C7CE9">
        <w:t>the general RFBs (CCAMLR/SPRFMO)</w:t>
      </w:r>
      <w:r w:rsidR="00B3550A">
        <w:t xml:space="preserve"> and explored common issues</w:t>
      </w:r>
      <w:r w:rsidR="003C7CE9">
        <w:t xml:space="preserve">. </w:t>
      </w:r>
    </w:p>
    <w:p w:rsidR="004E6E93" w:rsidRPr="004E6E93" w:rsidRDefault="002454BE" w:rsidP="00FF5AB1">
      <w:pPr>
        <w:ind w:left="567" w:hanging="567"/>
      </w:pPr>
      <w:hyperlink r:id="rId17" w:history="1">
        <w:r w:rsidR="00FF5AB1" w:rsidRPr="004D5B5B">
          <w:rPr>
            <w:rStyle w:val="Hyperlink"/>
            <w:rFonts w:cstheme="minorBidi"/>
            <w:b/>
          </w:rPr>
          <w:t>Thirty-four Meeting of the Commission for the Conservation of Antarctic Marine Living Resources</w:t>
        </w:r>
      </w:hyperlink>
      <w:r w:rsidR="00FF5AB1" w:rsidRPr="004D5B5B">
        <w:rPr>
          <w:b/>
        </w:rPr>
        <w:t xml:space="preserve"> (CCAMLR)</w:t>
      </w:r>
      <w:r w:rsidR="00FF5AB1">
        <w:t xml:space="preserve">, </w:t>
      </w:r>
      <w:r w:rsidR="004E6E93" w:rsidRPr="004E6E93">
        <w:t>19 - 30 Oct</w:t>
      </w:r>
      <w:r w:rsidR="00FF5AB1">
        <w:t>ober 2016</w:t>
      </w:r>
      <w:r w:rsidR="004E6E93" w:rsidRPr="004E6E93">
        <w:t>, Hobart, Australia: The Executive Secretary attended from 26-29 October as an observer. During th</w:t>
      </w:r>
      <w:r w:rsidR="00B3550A">
        <w:t>e meeting</w:t>
      </w:r>
      <w:r w:rsidR="004E6E93" w:rsidRPr="004E6E93">
        <w:t xml:space="preserve"> some representatives of the VMS-WG met with CCAMLR staff members to discuss the CCAMLR VMS setup, costs and possible opportunity of sharing </w:t>
      </w:r>
      <w:r w:rsidR="00B3550A">
        <w:t xml:space="preserve">VMS resources </w:t>
      </w:r>
      <w:r w:rsidR="004E6E93" w:rsidRPr="004E6E93">
        <w:t>with SPR</w:t>
      </w:r>
      <w:r w:rsidR="00B3550A">
        <w:t>F</w:t>
      </w:r>
      <w:r w:rsidR="004E6E93" w:rsidRPr="004E6E93">
        <w:t>MO.</w:t>
      </w:r>
    </w:p>
    <w:p w:rsidR="004E6E93" w:rsidRPr="004E6E93" w:rsidRDefault="002454BE" w:rsidP="00A86F8B">
      <w:pPr>
        <w:ind w:left="567" w:hanging="567"/>
      </w:pPr>
      <w:hyperlink r:id="rId18" w:history="1">
        <w:r w:rsidR="00FF5AB1" w:rsidRPr="004D5B5B">
          <w:rPr>
            <w:rStyle w:val="Hyperlink"/>
            <w:rFonts w:cstheme="minorBidi"/>
            <w:b/>
          </w:rPr>
          <w:t>Our Ocean 2015 Conference</w:t>
        </w:r>
      </w:hyperlink>
      <w:r w:rsidR="004D5B5B">
        <w:t>,</w:t>
      </w:r>
      <w:r w:rsidR="00FF5AB1" w:rsidRPr="004D5B5B">
        <w:t xml:space="preserve"> </w:t>
      </w:r>
      <w:r w:rsidR="004E6E93" w:rsidRPr="004E6E93">
        <w:t>5-6 Oct</w:t>
      </w:r>
      <w:r w:rsidR="00FF5AB1">
        <w:t>ober</w:t>
      </w:r>
      <w:r w:rsidR="004E6E93" w:rsidRPr="004E6E93">
        <w:t xml:space="preserve"> 2015, </w:t>
      </w:r>
      <w:proofErr w:type="spellStart"/>
      <w:r w:rsidR="004E6E93" w:rsidRPr="004E6E93">
        <w:t>Viña</w:t>
      </w:r>
      <w:proofErr w:type="spellEnd"/>
      <w:r w:rsidR="004E6E93" w:rsidRPr="004E6E93">
        <w:t xml:space="preserve"> del Mar, Chile: The Executive Secretary attended </w:t>
      </w:r>
      <w:r w:rsidR="00FF5AB1">
        <w:t xml:space="preserve">the conference </w:t>
      </w:r>
      <w:r w:rsidR="004E6E93" w:rsidRPr="004E6E93">
        <w:t xml:space="preserve">and participated in the Panel on IUU Fishing on the High Seas, a side event of the conference at the Universidad </w:t>
      </w:r>
      <w:proofErr w:type="spellStart"/>
      <w:r w:rsidR="004E6E93" w:rsidRPr="004E6E93">
        <w:t>Técnica</w:t>
      </w:r>
      <w:proofErr w:type="spellEnd"/>
      <w:r w:rsidR="004E6E93" w:rsidRPr="004E6E93">
        <w:t xml:space="preserve"> Fede</w:t>
      </w:r>
      <w:r w:rsidR="00FF5AB1">
        <w:t xml:space="preserve">rico Santa </w:t>
      </w:r>
      <w:proofErr w:type="spellStart"/>
      <w:r w:rsidR="00FF5AB1">
        <w:t>María</w:t>
      </w:r>
      <w:proofErr w:type="spellEnd"/>
      <w:r w:rsidR="00FF5AB1">
        <w:t xml:space="preserve"> in Valparaíso</w:t>
      </w:r>
      <w:r w:rsidR="004E6E93" w:rsidRPr="004E6E93">
        <w:t xml:space="preserve">. </w:t>
      </w:r>
    </w:p>
    <w:p w:rsidR="009B0F82" w:rsidRDefault="009B0F82" w:rsidP="004E6E93"/>
    <w:p w:rsidR="00E9261B" w:rsidRDefault="00E9261B">
      <w:pPr>
        <w:spacing w:before="0" w:after="160" w:line="259" w:lineRule="auto"/>
        <w:jc w:val="left"/>
        <w:rPr>
          <w:rFonts w:ascii="Verdana" w:eastAsiaTheme="majorEastAsia" w:hAnsi="Verdana" w:cstheme="majorBidi"/>
          <w:color w:val="2E74B5" w:themeColor="accent1" w:themeShade="BF"/>
          <w:sz w:val="32"/>
          <w:szCs w:val="32"/>
        </w:rPr>
      </w:pPr>
      <w:r>
        <w:br w:type="page"/>
      </w:r>
    </w:p>
    <w:p w:rsidR="00E9261B" w:rsidRDefault="00E9261B" w:rsidP="00E9261B">
      <w:pPr>
        <w:pStyle w:val="Heading1"/>
      </w:pPr>
      <w:r>
        <w:t>Data Releases</w:t>
      </w:r>
    </w:p>
    <w:p w:rsidR="00BC6661" w:rsidRDefault="00BC6661" w:rsidP="0087255C">
      <w:r>
        <w:t xml:space="preserve">April 2016.  A dataset composed of </w:t>
      </w:r>
      <w:r>
        <w:rPr>
          <w:color w:val="1F497D"/>
        </w:rPr>
        <w:t xml:space="preserve">historic </w:t>
      </w:r>
      <w:r>
        <w:t xml:space="preserve">annual 5*5 </w:t>
      </w:r>
      <w:r>
        <w:rPr>
          <w:color w:val="1F497D"/>
        </w:rPr>
        <w:t xml:space="preserve">total catches for the high seas Jack mackerel trawl fishery was released to </w:t>
      </w:r>
      <w:r w:rsidR="00D71E68">
        <w:rPr>
          <w:color w:val="1F497D"/>
        </w:rPr>
        <w:t>f</w:t>
      </w:r>
      <w:r>
        <w:rPr>
          <w:color w:val="1F497D"/>
        </w:rPr>
        <w:t xml:space="preserve">or use in conducting a risk assessment of southern hemisphere </w:t>
      </w:r>
      <w:proofErr w:type="spellStart"/>
      <w:r>
        <w:rPr>
          <w:color w:val="1F497D"/>
        </w:rPr>
        <w:t>porbeagle</w:t>
      </w:r>
      <w:proofErr w:type="spellEnd"/>
      <w:r>
        <w:rPr>
          <w:color w:val="1F497D"/>
        </w:rPr>
        <w:t xml:space="preserve"> sharks</w:t>
      </w:r>
      <w:r w:rsidR="00D71E68">
        <w:rPr>
          <w:color w:val="1F497D"/>
        </w:rPr>
        <w:t xml:space="preserve"> (part of the FAO implemented GEF Project in ABNJ)</w:t>
      </w:r>
      <w:r>
        <w:rPr>
          <w:color w:val="1F497D"/>
        </w:rPr>
        <w:t>.  The dataset also contained 3 basic measures of effort (tows, vessels and vessel days).</w:t>
      </w:r>
    </w:p>
    <w:p w:rsidR="00A2007C" w:rsidRDefault="00A2007C" w:rsidP="0087255C">
      <w:r>
        <w:t>May 2016.  The Secretariat</w:t>
      </w:r>
      <w:r w:rsidR="00A37B08">
        <w:t xml:space="preserve"> provided</w:t>
      </w:r>
      <w:r w:rsidR="002454BE">
        <w:t xml:space="preserve"> summary</w:t>
      </w:r>
      <w:r w:rsidR="00A37B08">
        <w:t xml:space="preserve"> </w:t>
      </w:r>
      <w:hyperlink r:id="rId19" w:history="1">
        <w:r w:rsidRPr="00F71B4C">
          <w:rPr>
            <w:rStyle w:val="Hyperlink"/>
            <w:rFonts w:cstheme="minorBidi"/>
          </w:rPr>
          <w:t>information</w:t>
        </w:r>
      </w:hyperlink>
      <w:r>
        <w:t xml:space="preserve"> </w:t>
      </w:r>
      <w:r w:rsidR="00F71B4C">
        <w:t xml:space="preserve">in response to requests </w:t>
      </w:r>
      <w:r>
        <w:t>from the FAO expert advisory panel for assessment of CITIES marine and aquatic species proposals</w:t>
      </w:r>
      <w:r w:rsidR="00F71B4C">
        <w:t>,</w:t>
      </w:r>
      <w:r>
        <w:t xml:space="preserve"> and from the CITIES Secretariat regarding </w:t>
      </w:r>
      <w:r w:rsidR="00F71B4C">
        <w:t xml:space="preserve">proposals </w:t>
      </w:r>
      <w:r w:rsidR="00BC6661">
        <w:t>to amend C</w:t>
      </w:r>
      <w:r w:rsidR="00F71B4C">
        <w:t>ITI</w:t>
      </w:r>
      <w:r w:rsidR="00BC6661">
        <w:t>E</w:t>
      </w:r>
      <w:r w:rsidR="00F71B4C">
        <w:t xml:space="preserve">S appendices </w:t>
      </w:r>
      <w:r w:rsidR="00BC6661">
        <w:t>II for marine</w:t>
      </w:r>
      <w:r w:rsidR="00F71B4C">
        <w:t xml:space="preserve"> species.</w:t>
      </w:r>
    </w:p>
    <w:p w:rsidR="0087255C" w:rsidRDefault="0087255C" w:rsidP="0087255C">
      <w:pPr>
        <w:rPr>
          <w:color w:val="1F497D"/>
        </w:rPr>
      </w:pPr>
      <w:r>
        <w:t>June 2016</w:t>
      </w:r>
      <w:r w:rsidR="00A2007C">
        <w:t>.  A</w:t>
      </w:r>
      <w:r>
        <w:t xml:space="preserve"> dataset composed of the 2013 </w:t>
      </w:r>
      <w:r>
        <w:rPr>
          <w:color w:val="1F497D"/>
        </w:rPr>
        <w:t xml:space="preserve">annual catch total, by gear type, major species and FAO area was released to an undergraduate research assistant at Memorial University in Canada. </w:t>
      </w:r>
    </w:p>
    <w:p w:rsidR="0087255C" w:rsidRDefault="0087255C" w:rsidP="0087255C">
      <w:pPr>
        <w:rPr>
          <w:color w:val="1F497D"/>
        </w:rPr>
      </w:pPr>
      <w:r>
        <w:t>July 2016</w:t>
      </w:r>
      <w:r w:rsidR="00A2007C">
        <w:t>.  An</w:t>
      </w:r>
      <w:r>
        <w:t xml:space="preserve"> </w:t>
      </w:r>
      <w:r w:rsidR="00A2007C">
        <w:t xml:space="preserve">updated </w:t>
      </w:r>
      <w:r>
        <w:t xml:space="preserve">dataset composed of </w:t>
      </w:r>
      <w:r w:rsidR="00BC6661">
        <w:rPr>
          <w:color w:val="1F497D"/>
        </w:rPr>
        <w:t xml:space="preserve">historic </w:t>
      </w:r>
      <w:r>
        <w:rPr>
          <w:color w:val="1F497D"/>
        </w:rPr>
        <w:t>total catch</w:t>
      </w:r>
      <w:r w:rsidR="00BC6661">
        <w:rPr>
          <w:color w:val="1F497D"/>
        </w:rPr>
        <w:t>es</w:t>
      </w:r>
      <w:r>
        <w:rPr>
          <w:color w:val="1F497D"/>
        </w:rPr>
        <w:t xml:space="preserve"> fo</w:t>
      </w:r>
      <w:bookmarkStart w:id="0" w:name="_GoBack"/>
      <w:bookmarkEnd w:id="0"/>
      <w:r>
        <w:rPr>
          <w:color w:val="1F497D"/>
        </w:rPr>
        <w:t xml:space="preserve">r 3 major SPRFMO fisheries (Jack mackerel, Squid and all others combined) was released </w:t>
      </w:r>
      <w:r w:rsidR="00D71E68">
        <w:rPr>
          <w:color w:val="1F497D"/>
        </w:rPr>
        <w:t xml:space="preserve">to </w:t>
      </w:r>
      <w:r w:rsidR="00A2007C">
        <w:rPr>
          <w:color w:val="1F497D"/>
        </w:rPr>
        <w:t>an Australian government official for use in their annual fishery status reports.</w:t>
      </w:r>
    </w:p>
    <w:p w:rsidR="00D71E68" w:rsidRDefault="00D71E68" w:rsidP="0087255C">
      <w:pPr>
        <w:rPr>
          <w:rFonts w:ascii="Calibri" w:hAnsi="Calibri"/>
          <w:color w:val="1F497D"/>
        </w:rPr>
      </w:pPr>
      <w:r>
        <w:rPr>
          <w:color w:val="1F497D"/>
        </w:rPr>
        <w:t xml:space="preserve">August 2016.  Vanuatu authorised the Secretariat to release all of its fishing activity data and observer data to a European Union researcher for incorporation into the Scientific committee stock assessment process. </w:t>
      </w:r>
    </w:p>
    <w:p w:rsidR="0087255C" w:rsidRDefault="0087255C" w:rsidP="0087255C">
      <w:pPr>
        <w:rPr>
          <w:rFonts w:ascii="Calibri" w:hAnsi="Calibri"/>
          <w:color w:val="1F497D"/>
        </w:rPr>
      </w:pPr>
    </w:p>
    <w:p w:rsidR="00E9261B" w:rsidRPr="004E6E93" w:rsidRDefault="0087255C" w:rsidP="00E9261B">
      <w:pPr>
        <w:ind w:left="567" w:hanging="567"/>
      </w:pPr>
      <w:r>
        <w:t xml:space="preserve"> </w:t>
      </w:r>
    </w:p>
    <w:p w:rsidR="00E9261B" w:rsidRPr="00E9261B" w:rsidRDefault="00E9261B" w:rsidP="00E9261B"/>
    <w:sectPr w:rsidR="00E9261B" w:rsidRPr="00E9261B" w:rsidSect="00EC3810">
      <w:headerReference w:type="default" r:id="rId20"/>
      <w:headerReference w:type="first" r:id="rId21"/>
      <w:pgSz w:w="11906" w:h="16838"/>
      <w:pgMar w:top="1440" w:right="1080" w:bottom="1440" w:left="1080" w:header="426" w:footer="4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E93" w:rsidRDefault="004E6E93" w:rsidP="00E63780">
      <w:r>
        <w:separator/>
      </w:r>
    </w:p>
    <w:p w:rsidR="004E6E93" w:rsidRDefault="004E6E93" w:rsidP="00E63780"/>
  </w:endnote>
  <w:endnote w:type="continuationSeparator" w:id="0">
    <w:p w:rsidR="004E6E93" w:rsidRDefault="004E6E93" w:rsidP="00E63780">
      <w:r>
        <w:continuationSeparator/>
      </w:r>
    </w:p>
    <w:p w:rsidR="004E6E93" w:rsidRDefault="004E6E93" w:rsidP="00E637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 w:name="Calibri,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E93" w:rsidRDefault="004E6E93" w:rsidP="00E63780">
      <w:r>
        <w:separator/>
      </w:r>
    </w:p>
    <w:p w:rsidR="004E6E93" w:rsidRDefault="004E6E93" w:rsidP="00E63780"/>
  </w:footnote>
  <w:footnote w:type="continuationSeparator" w:id="0">
    <w:p w:rsidR="004E6E93" w:rsidRDefault="004E6E93" w:rsidP="00E63780">
      <w:r>
        <w:continuationSeparator/>
      </w:r>
    </w:p>
    <w:p w:rsidR="004E6E93" w:rsidRDefault="004E6E93" w:rsidP="00E637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C22" w:rsidRDefault="00E9261B" w:rsidP="00E63780">
    <w:pPr>
      <w:pStyle w:val="Header"/>
    </w:pPr>
    <w:r>
      <w:tab/>
    </w:r>
    <w:r>
      <w:tab/>
      <w:t>SC-04-25_rev1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619" w:rsidRDefault="00834998" w:rsidP="00E63780">
    <w:pPr>
      <w:pStyle w:val="Header"/>
    </w:pPr>
    <w:r>
      <w:rPr>
        <w:noProof/>
        <w:lang w:val="en-US"/>
      </w:rPr>
      <w:drawing>
        <wp:anchor distT="0" distB="0" distL="114300" distR="114300" simplePos="0" relativeHeight="251659264" behindDoc="1" locked="0" layoutInCell="1" allowOverlap="1" wp14:anchorId="3EDB7842" wp14:editId="04A1567E">
          <wp:simplePos x="0" y="0"/>
          <wp:positionH relativeFrom="page">
            <wp:posOffset>68580</wp:posOffset>
          </wp:positionH>
          <wp:positionV relativeFrom="paragraph">
            <wp:posOffset>-85725</wp:posOffset>
          </wp:positionV>
          <wp:extent cx="7434866" cy="8636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etterhead-SPRFMO.tif"/>
                  <pic:cNvPicPr/>
                </pic:nvPicPr>
                <pic:blipFill>
                  <a:blip r:embed="rId1" cstate="screen">
                    <a:extLst>
                      <a:ext uri="{28A0092B-C50C-407E-A947-70E740481C1C}">
                        <a14:useLocalDpi xmlns:a14="http://schemas.microsoft.com/office/drawing/2010/main"/>
                      </a:ext>
                    </a:extLst>
                  </a:blip>
                  <a:stretch>
                    <a:fillRect/>
                  </a:stretch>
                </pic:blipFill>
                <pic:spPr>
                  <a:xfrm>
                    <a:off x="0" y="0"/>
                    <a:ext cx="7434866" cy="86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19BF"/>
    <w:multiLevelType w:val="hybridMultilevel"/>
    <w:tmpl w:val="E438F9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29E6D93"/>
    <w:multiLevelType w:val="hybridMultilevel"/>
    <w:tmpl w:val="CE96F6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62B30E7"/>
    <w:multiLevelType w:val="hybridMultilevel"/>
    <w:tmpl w:val="8B14FF2A"/>
    <w:lvl w:ilvl="0" w:tplc="C04E2040">
      <w:numFmt w:val="bullet"/>
      <w:lvlText w:val="-"/>
      <w:lvlJc w:val="left"/>
      <w:pPr>
        <w:ind w:left="1080" w:hanging="360"/>
      </w:pPr>
      <w:rPr>
        <w:rFonts w:ascii="Calibri" w:eastAsiaTheme="minorHAnsi" w:hAnsi="Calibri" w:cstheme="minorBid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 w15:restartNumberingAfterBreak="0">
    <w:nsid w:val="216D185A"/>
    <w:multiLevelType w:val="hybridMultilevel"/>
    <w:tmpl w:val="F7C03716"/>
    <w:lvl w:ilvl="0" w:tplc="1409000F">
      <w:start w:val="1"/>
      <w:numFmt w:val="decimal"/>
      <w:lvlText w:val="%1."/>
      <w:lvlJc w:val="left"/>
      <w:pPr>
        <w:ind w:left="1146" w:hanging="360"/>
      </w:pPr>
    </w:lvl>
    <w:lvl w:ilvl="1" w:tplc="14090019" w:tentative="1">
      <w:start w:val="1"/>
      <w:numFmt w:val="lowerLetter"/>
      <w:lvlText w:val="%2."/>
      <w:lvlJc w:val="left"/>
      <w:pPr>
        <w:ind w:left="1866" w:hanging="360"/>
      </w:pPr>
    </w:lvl>
    <w:lvl w:ilvl="2" w:tplc="1409001B" w:tentative="1">
      <w:start w:val="1"/>
      <w:numFmt w:val="lowerRoman"/>
      <w:lvlText w:val="%3."/>
      <w:lvlJc w:val="right"/>
      <w:pPr>
        <w:ind w:left="2586" w:hanging="180"/>
      </w:pPr>
    </w:lvl>
    <w:lvl w:ilvl="3" w:tplc="1409000F" w:tentative="1">
      <w:start w:val="1"/>
      <w:numFmt w:val="decimal"/>
      <w:lvlText w:val="%4."/>
      <w:lvlJc w:val="left"/>
      <w:pPr>
        <w:ind w:left="3306" w:hanging="360"/>
      </w:pPr>
    </w:lvl>
    <w:lvl w:ilvl="4" w:tplc="14090019" w:tentative="1">
      <w:start w:val="1"/>
      <w:numFmt w:val="lowerLetter"/>
      <w:lvlText w:val="%5."/>
      <w:lvlJc w:val="left"/>
      <w:pPr>
        <w:ind w:left="4026" w:hanging="360"/>
      </w:pPr>
    </w:lvl>
    <w:lvl w:ilvl="5" w:tplc="1409001B" w:tentative="1">
      <w:start w:val="1"/>
      <w:numFmt w:val="lowerRoman"/>
      <w:lvlText w:val="%6."/>
      <w:lvlJc w:val="right"/>
      <w:pPr>
        <w:ind w:left="4746" w:hanging="180"/>
      </w:pPr>
    </w:lvl>
    <w:lvl w:ilvl="6" w:tplc="1409000F" w:tentative="1">
      <w:start w:val="1"/>
      <w:numFmt w:val="decimal"/>
      <w:lvlText w:val="%7."/>
      <w:lvlJc w:val="left"/>
      <w:pPr>
        <w:ind w:left="5466" w:hanging="360"/>
      </w:pPr>
    </w:lvl>
    <w:lvl w:ilvl="7" w:tplc="14090019" w:tentative="1">
      <w:start w:val="1"/>
      <w:numFmt w:val="lowerLetter"/>
      <w:lvlText w:val="%8."/>
      <w:lvlJc w:val="left"/>
      <w:pPr>
        <w:ind w:left="6186" w:hanging="360"/>
      </w:pPr>
    </w:lvl>
    <w:lvl w:ilvl="8" w:tplc="1409001B" w:tentative="1">
      <w:start w:val="1"/>
      <w:numFmt w:val="lowerRoman"/>
      <w:lvlText w:val="%9."/>
      <w:lvlJc w:val="right"/>
      <w:pPr>
        <w:ind w:left="6906" w:hanging="180"/>
      </w:pPr>
    </w:lvl>
  </w:abstractNum>
  <w:abstractNum w:abstractNumId="4" w15:restartNumberingAfterBreak="0">
    <w:nsid w:val="21E03E9B"/>
    <w:multiLevelType w:val="multilevel"/>
    <w:tmpl w:val="09520570"/>
    <w:lvl w:ilvl="0">
      <w:start w:val="1"/>
      <w:numFmt w:val="decimal"/>
      <w:lvlText w:val="%1. "/>
      <w:lvlJc w:val="left"/>
      <w:pPr>
        <w:ind w:left="360" w:hanging="360"/>
      </w:pPr>
      <w:rPr>
        <w:rFonts w:hint="default"/>
      </w:rPr>
    </w:lvl>
    <w:lvl w:ilvl="1">
      <w:start w:val="1"/>
      <w:numFmt w:val="lowerLetter"/>
      <w:pStyle w:val="Heading3"/>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3F849C1"/>
    <w:multiLevelType w:val="hybridMultilevel"/>
    <w:tmpl w:val="634858AC"/>
    <w:lvl w:ilvl="0" w:tplc="2702E41A">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72A3349"/>
    <w:multiLevelType w:val="hybridMultilevel"/>
    <w:tmpl w:val="4EA2FCC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616A5E4E"/>
    <w:multiLevelType w:val="hybridMultilevel"/>
    <w:tmpl w:val="A58446D0"/>
    <w:lvl w:ilvl="0" w:tplc="BE484912">
      <w:start w:val="1"/>
      <w:numFmt w:val="decimal"/>
      <w:lvlText w:val="%1."/>
      <w:lvlJc w:val="left"/>
      <w:pPr>
        <w:ind w:left="786" w:hanging="360"/>
      </w:pPr>
      <w:rPr>
        <w:rFonts w:hint="default"/>
      </w:rPr>
    </w:lvl>
    <w:lvl w:ilvl="1" w:tplc="14090019" w:tentative="1">
      <w:start w:val="1"/>
      <w:numFmt w:val="lowerLetter"/>
      <w:lvlText w:val="%2."/>
      <w:lvlJc w:val="left"/>
      <w:pPr>
        <w:ind w:left="1506" w:hanging="360"/>
      </w:pPr>
    </w:lvl>
    <w:lvl w:ilvl="2" w:tplc="1409001B" w:tentative="1">
      <w:start w:val="1"/>
      <w:numFmt w:val="lowerRoman"/>
      <w:lvlText w:val="%3."/>
      <w:lvlJc w:val="right"/>
      <w:pPr>
        <w:ind w:left="2226" w:hanging="180"/>
      </w:pPr>
    </w:lvl>
    <w:lvl w:ilvl="3" w:tplc="1409000F" w:tentative="1">
      <w:start w:val="1"/>
      <w:numFmt w:val="decimal"/>
      <w:lvlText w:val="%4."/>
      <w:lvlJc w:val="left"/>
      <w:pPr>
        <w:ind w:left="2946" w:hanging="360"/>
      </w:pPr>
    </w:lvl>
    <w:lvl w:ilvl="4" w:tplc="14090019" w:tentative="1">
      <w:start w:val="1"/>
      <w:numFmt w:val="lowerLetter"/>
      <w:lvlText w:val="%5."/>
      <w:lvlJc w:val="left"/>
      <w:pPr>
        <w:ind w:left="3666" w:hanging="360"/>
      </w:pPr>
    </w:lvl>
    <w:lvl w:ilvl="5" w:tplc="1409001B" w:tentative="1">
      <w:start w:val="1"/>
      <w:numFmt w:val="lowerRoman"/>
      <w:lvlText w:val="%6."/>
      <w:lvlJc w:val="right"/>
      <w:pPr>
        <w:ind w:left="4386" w:hanging="180"/>
      </w:pPr>
    </w:lvl>
    <w:lvl w:ilvl="6" w:tplc="1409000F" w:tentative="1">
      <w:start w:val="1"/>
      <w:numFmt w:val="decimal"/>
      <w:lvlText w:val="%7."/>
      <w:lvlJc w:val="left"/>
      <w:pPr>
        <w:ind w:left="5106" w:hanging="360"/>
      </w:pPr>
    </w:lvl>
    <w:lvl w:ilvl="7" w:tplc="14090019" w:tentative="1">
      <w:start w:val="1"/>
      <w:numFmt w:val="lowerLetter"/>
      <w:lvlText w:val="%8."/>
      <w:lvlJc w:val="left"/>
      <w:pPr>
        <w:ind w:left="5826" w:hanging="360"/>
      </w:pPr>
    </w:lvl>
    <w:lvl w:ilvl="8" w:tplc="1409001B" w:tentative="1">
      <w:start w:val="1"/>
      <w:numFmt w:val="lowerRoman"/>
      <w:lvlText w:val="%9."/>
      <w:lvlJc w:val="right"/>
      <w:pPr>
        <w:ind w:left="6546" w:hanging="180"/>
      </w:pPr>
    </w:lvl>
  </w:abstractNum>
  <w:num w:numId="1">
    <w:abstractNumId w:val="5"/>
  </w:num>
  <w:num w:numId="2">
    <w:abstractNumId w:val="2"/>
  </w:num>
  <w:num w:numId="3">
    <w:abstractNumId w:val="6"/>
  </w:num>
  <w:num w:numId="4">
    <w:abstractNumId w:val="4"/>
  </w:num>
  <w:num w:numId="5">
    <w:abstractNumId w:val="0"/>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E93"/>
    <w:rsid w:val="000D760D"/>
    <w:rsid w:val="001A3971"/>
    <w:rsid w:val="001E01F6"/>
    <w:rsid w:val="002454BE"/>
    <w:rsid w:val="0025286D"/>
    <w:rsid w:val="00271C50"/>
    <w:rsid w:val="00303C3C"/>
    <w:rsid w:val="00316CCC"/>
    <w:rsid w:val="00384AD5"/>
    <w:rsid w:val="00384BB3"/>
    <w:rsid w:val="003878E4"/>
    <w:rsid w:val="003B355F"/>
    <w:rsid w:val="003C7CE9"/>
    <w:rsid w:val="0046334C"/>
    <w:rsid w:val="00473872"/>
    <w:rsid w:val="004A6ED4"/>
    <w:rsid w:val="004C3F3C"/>
    <w:rsid w:val="004D5B5B"/>
    <w:rsid w:val="004E6E93"/>
    <w:rsid w:val="004F364A"/>
    <w:rsid w:val="005107AD"/>
    <w:rsid w:val="005A019E"/>
    <w:rsid w:val="005A7167"/>
    <w:rsid w:val="005D5FFD"/>
    <w:rsid w:val="005F4B85"/>
    <w:rsid w:val="0061710E"/>
    <w:rsid w:val="00627133"/>
    <w:rsid w:val="006D4F5F"/>
    <w:rsid w:val="006F1AE5"/>
    <w:rsid w:val="00762B1D"/>
    <w:rsid w:val="00776952"/>
    <w:rsid w:val="00777BDE"/>
    <w:rsid w:val="007E0AD4"/>
    <w:rsid w:val="007F638A"/>
    <w:rsid w:val="008249C7"/>
    <w:rsid w:val="00834998"/>
    <w:rsid w:val="00835BA4"/>
    <w:rsid w:val="008371B5"/>
    <w:rsid w:val="0087166F"/>
    <w:rsid w:val="0087255C"/>
    <w:rsid w:val="008817E0"/>
    <w:rsid w:val="00881AC3"/>
    <w:rsid w:val="009738AE"/>
    <w:rsid w:val="00997279"/>
    <w:rsid w:val="009B0F82"/>
    <w:rsid w:val="009B2991"/>
    <w:rsid w:val="009D0A4E"/>
    <w:rsid w:val="00A17895"/>
    <w:rsid w:val="00A2007C"/>
    <w:rsid w:val="00A37B08"/>
    <w:rsid w:val="00A40798"/>
    <w:rsid w:val="00A50C14"/>
    <w:rsid w:val="00A86F8B"/>
    <w:rsid w:val="00AE6477"/>
    <w:rsid w:val="00B3550A"/>
    <w:rsid w:val="00B373E0"/>
    <w:rsid w:val="00BC6661"/>
    <w:rsid w:val="00C17D17"/>
    <w:rsid w:val="00C5709E"/>
    <w:rsid w:val="00C95E1D"/>
    <w:rsid w:val="00CE5ACF"/>
    <w:rsid w:val="00D037CC"/>
    <w:rsid w:val="00D27138"/>
    <w:rsid w:val="00D31157"/>
    <w:rsid w:val="00D32C79"/>
    <w:rsid w:val="00D71E68"/>
    <w:rsid w:val="00DA3A55"/>
    <w:rsid w:val="00DB3104"/>
    <w:rsid w:val="00E10619"/>
    <w:rsid w:val="00E135C2"/>
    <w:rsid w:val="00E606A3"/>
    <w:rsid w:val="00E63780"/>
    <w:rsid w:val="00E779C4"/>
    <w:rsid w:val="00E9261B"/>
    <w:rsid w:val="00E927D3"/>
    <w:rsid w:val="00EA54D4"/>
    <w:rsid w:val="00EB4FA3"/>
    <w:rsid w:val="00EB5048"/>
    <w:rsid w:val="00EC3810"/>
    <w:rsid w:val="00EC4A11"/>
    <w:rsid w:val="00F054CB"/>
    <w:rsid w:val="00F15C22"/>
    <w:rsid w:val="00F3170E"/>
    <w:rsid w:val="00F71B4C"/>
    <w:rsid w:val="00FF5AB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59E77D"/>
  <w15:chartTrackingRefBased/>
  <w15:docId w15:val="{1DC919AB-2BA9-4CDE-9EC9-A3BA47DF3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63780"/>
    <w:pPr>
      <w:spacing w:before="120" w:after="120" w:line="240" w:lineRule="auto"/>
      <w:jc w:val="both"/>
    </w:pPr>
    <w:rPr>
      <w:rFonts w:ascii="Georgia" w:hAnsi="Georgia"/>
      <w:color w:val="1F4E79" w:themeColor="accent1" w:themeShade="80"/>
    </w:rPr>
  </w:style>
  <w:style w:type="paragraph" w:styleId="Heading1">
    <w:name w:val="heading 1"/>
    <w:basedOn w:val="Normal"/>
    <w:next w:val="Normal"/>
    <w:link w:val="Heading1Char"/>
    <w:uiPriority w:val="9"/>
    <w:qFormat/>
    <w:rsid w:val="00E63780"/>
    <w:pPr>
      <w:keepNext/>
      <w:keepLines/>
      <w:spacing w:before="240" w:after="0"/>
      <w:outlineLvl w:val="0"/>
    </w:pPr>
    <w:rPr>
      <w:rFonts w:ascii="Verdana" w:eastAsiaTheme="majorEastAsia" w:hAnsi="Verdan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637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63780"/>
    <w:pPr>
      <w:keepNext/>
      <w:keepLines/>
      <w:numPr>
        <w:ilvl w:val="1"/>
        <w:numId w:val="4"/>
      </w:numPr>
      <w:spacing w:before="40" w:after="0"/>
      <w:outlineLvl w:val="2"/>
    </w:pPr>
    <w:rPr>
      <w:rFonts w:ascii="Verdana" w:eastAsiaTheme="majorEastAsia" w:hAnsi="Verdana"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10E"/>
    <w:pPr>
      <w:tabs>
        <w:tab w:val="center" w:pos="4513"/>
        <w:tab w:val="right" w:pos="9026"/>
      </w:tabs>
      <w:spacing w:after="0"/>
    </w:pPr>
  </w:style>
  <w:style w:type="character" w:customStyle="1" w:styleId="HeaderChar">
    <w:name w:val="Header Char"/>
    <w:basedOn w:val="DefaultParagraphFont"/>
    <w:link w:val="Header"/>
    <w:uiPriority w:val="99"/>
    <w:rsid w:val="0061710E"/>
  </w:style>
  <w:style w:type="paragraph" w:styleId="Footer">
    <w:name w:val="footer"/>
    <w:basedOn w:val="Normal"/>
    <w:link w:val="FooterChar"/>
    <w:uiPriority w:val="99"/>
    <w:unhideWhenUsed/>
    <w:rsid w:val="0061710E"/>
    <w:pPr>
      <w:tabs>
        <w:tab w:val="center" w:pos="4513"/>
        <w:tab w:val="right" w:pos="9026"/>
      </w:tabs>
      <w:spacing w:after="0"/>
    </w:pPr>
  </w:style>
  <w:style w:type="character" w:customStyle="1" w:styleId="FooterChar">
    <w:name w:val="Footer Char"/>
    <w:basedOn w:val="DefaultParagraphFont"/>
    <w:link w:val="Footer"/>
    <w:uiPriority w:val="99"/>
    <w:rsid w:val="0061710E"/>
  </w:style>
  <w:style w:type="character" w:styleId="Hyperlink">
    <w:name w:val="Hyperlink"/>
    <w:basedOn w:val="DefaultParagraphFont"/>
    <w:rsid w:val="0061710E"/>
    <w:rPr>
      <w:rFonts w:cs="Times New Roman"/>
      <w:color w:val="0000FF"/>
      <w:u w:val="single"/>
    </w:rPr>
  </w:style>
  <w:style w:type="character" w:customStyle="1" w:styleId="Heading1Char">
    <w:name w:val="Heading 1 Char"/>
    <w:basedOn w:val="DefaultParagraphFont"/>
    <w:link w:val="Heading1"/>
    <w:uiPriority w:val="9"/>
    <w:rsid w:val="00E63780"/>
    <w:rPr>
      <w:rFonts w:ascii="Verdana" w:eastAsiaTheme="majorEastAsia" w:hAnsi="Verdana" w:cstheme="majorBidi"/>
      <w:color w:val="2E74B5" w:themeColor="accent1" w:themeShade="BF"/>
      <w:sz w:val="32"/>
      <w:szCs w:val="32"/>
    </w:rPr>
  </w:style>
  <w:style w:type="character" w:customStyle="1" w:styleId="Heading2Char">
    <w:name w:val="Heading 2 Char"/>
    <w:basedOn w:val="DefaultParagraphFont"/>
    <w:link w:val="Heading2"/>
    <w:uiPriority w:val="9"/>
    <w:rsid w:val="00E6378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63780"/>
    <w:rPr>
      <w:rFonts w:ascii="Verdana" w:eastAsiaTheme="majorEastAsia" w:hAnsi="Verdana" w:cstheme="majorBidi"/>
      <w:color w:val="1F4D78" w:themeColor="accent1" w:themeShade="7F"/>
      <w:szCs w:val="24"/>
    </w:rPr>
  </w:style>
  <w:style w:type="paragraph" w:styleId="ListParagraph">
    <w:name w:val="List Paragraph"/>
    <w:basedOn w:val="Normal"/>
    <w:uiPriority w:val="34"/>
    <w:qFormat/>
    <w:rsid w:val="00E63780"/>
    <w:pPr>
      <w:ind w:left="720"/>
      <w:contextualSpacing/>
    </w:pPr>
  </w:style>
  <w:style w:type="character" w:styleId="FollowedHyperlink">
    <w:name w:val="FollowedHyperlink"/>
    <w:basedOn w:val="DefaultParagraphFont"/>
    <w:uiPriority w:val="99"/>
    <w:semiHidden/>
    <w:unhideWhenUsed/>
    <w:rsid w:val="001A39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457675">
      <w:bodyDiv w:val="1"/>
      <w:marLeft w:val="0"/>
      <w:marRight w:val="0"/>
      <w:marTop w:val="0"/>
      <w:marBottom w:val="0"/>
      <w:divBdr>
        <w:top w:val="none" w:sz="0" w:space="0" w:color="auto"/>
        <w:left w:val="none" w:sz="0" w:space="0" w:color="auto"/>
        <w:bottom w:val="none" w:sz="0" w:space="0" w:color="auto"/>
        <w:right w:val="none" w:sz="0" w:space="0" w:color="auto"/>
      </w:divBdr>
    </w:div>
    <w:div w:id="579868083">
      <w:bodyDiv w:val="1"/>
      <w:marLeft w:val="0"/>
      <w:marRight w:val="0"/>
      <w:marTop w:val="0"/>
      <w:marBottom w:val="0"/>
      <w:divBdr>
        <w:top w:val="none" w:sz="0" w:space="0" w:color="auto"/>
        <w:left w:val="none" w:sz="0" w:space="0" w:color="auto"/>
        <w:bottom w:val="none" w:sz="0" w:space="0" w:color="auto"/>
        <w:right w:val="none" w:sz="0" w:space="0" w:color="auto"/>
      </w:divBdr>
      <w:divsChild>
        <w:div w:id="2085490196">
          <w:marLeft w:val="0"/>
          <w:marRight w:val="0"/>
          <w:marTop w:val="0"/>
          <w:marBottom w:val="0"/>
          <w:divBdr>
            <w:top w:val="none" w:sz="0" w:space="0" w:color="auto"/>
            <w:left w:val="none" w:sz="0" w:space="0" w:color="auto"/>
            <w:bottom w:val="none" w:sz="0" w:space="0" w:color="auto"/>
            <w:right w:val="none" w:sz="0" w:space="0" w:color="auto"/>
          </w:divBdr>
          <w:divsChild>
            <w:div w:id="759831333">
              <w:marLeft w:val="0"/>
              <w:marRight w:val="0"/>
              <w:marTop w:val="105"/>
              <w:marBottom w:val="0"/>
              <w:divBdr>
                <w:top w:val="none" w:sz="0" w:space="0" w:color="auto"/>
                <w:left w:val="none" w:sz="0" w:space="0" w:color="auto"/>
                <w:bottom w:val="none" w:sz="0" w:space="0" w:color="auto"/>
                <w:right w:val="none" w:sz="0" w:space="0" w:color="auto"/>
              </w:divBdr>
              <w:divsChild>
                <w:div w:id="1563709437">
                  <w:marLeft w:val="2625"/>
                  <w:marRight w:val="0"/>
                  <w:marTop w:val="0"/>
                  <w:marBottom w:val="0"/>
                  <w:divBdr>
                    <w:top w:val="none" w:sz="0" w:space="0" w:color="auto"/>
                    <w:left w:val="none" w:sz="0" w:space="0" w:color="auto"/>
                    <w:bottom w:val="none" w:sz="0" w:space="0" w:color="auto"/>
                    <w:right w:val="none" w:sz="0" w:space="0" w:color="auto"/>
                  </w:divBdr>
                  <w:divsChild>
                    <w:div w:id="867334498">
                      <w:marLeft w:val="0"/>
                      <w:marRight w:val="0"/>
                      <w:marTop w:val="150"/>
                      <w:marBottom w:val="0"/>
                      <w:divBdr>
                        <w:top w:val="none" w:sz="0" w:space="0" w:color="auto"/>
                        <w:left w:val="none" w:sz="0" w:space="0" w:color="auto"/>
                        <w:bottom w:val="none" w:sz="0" w:space="0" w:color="auto"/>
                        <w:right w:val="none" w:sz="0" w:space="0" w:color="auto"/>
                      </w:divBdr>
                      <w:divsChild>
                        <w:div w:id="192598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721897">
      <w:bodyDiv w:val="1"/>
      <w:marLeft w:val="0"/>
      <w:marRight w:val="0"/>
      <w:marTop w:val="0"/>
      <w:marBottom w:val="0"/>
      <w:divBdr>
        <w:top w:val="none" w:sz="0" w:space="0" w:color="auto"/>
        <w:left w:val="none" w:sz="0" w:space="0" w:color="auto"/>
        <w:bottom w:val="none" w:sz="0" w:space="0" w:color="auto"/>
        <w:right w:val="none" w:sz="0" w:space="0" w:color="auto"/>
      </w:divBdr>
      <w:divsChild>
        <w:div w:id="1857383218">
          <w:marLeft w:val="0"/>
          <w:marRight w:val="0"/>
          <w:marTop w:val="0"/>
          <w:marBottom w:val="0"/>
          <w:divBdr>
            <w:top w:val="none" w:sz="0" w:space="0" w:color="auto"/>
            <w:left w:val="none" w:sz="0" w:space="0" w:color="auto"/>
            <w:bottom w:val="none" w:sz="0" w:space="0" w:color="auto"/>
            <w:right w:val="none" w:sz="0" w:space="0" w:color="auto"/>
          </w:divBdr>
          <w:divsChild>
            <w:div w:id="2092962637">
              <w:marLeft w:val="0"/>
              <w:marRight w:val="0"/>
              <w:marTop w:val="105"/>
              <w:marBottom w:val="0"/>
              <w:divBdr>
                <w:top w:val="none" w:sz="0" w:space="0" w:color="auto"/>
                <w:left w:val="none" w:sz="0" w:space="0" w:color="auto"/>
                <w:bottom w:val="none" w:sz="0" w:space="0" w:color="auto"/>
                <w:right w:val="none" w:sz="0" w:space="0" w:color="auto"/>
              </w:divBdr>
              <w:divsChild>
                <w:div w:id="1790393164">
                  <w:marLeft w:val="2625"/>
                  <w:marRight w:val="0"/>
                  <w:marTop w:val="0"/>
                  <w:marBottom w:val="0"/>
                  <w:divBdr>
                    <w:top w:val="none" w:sz="0" w:space="0" w:color="auto"/>
                    <w:left w:val="none" w:sz="0" w:space="0" w:color="auto"/>
                    <w:bottom w:val="none" w:sz="0" w:space="0" w:color="auto"/>
                    <w:right w:val="none" w:sz="0" w:space="0" w:color="auto"/>
                  </w:divBdr>
                  <w:divsChild>
                    <w:div w:id="454569500">
                      <w:marLeft w:val="0"/>
                      <w:marRight w:val="0"/>
                      <w:marTop w:val="150"/>
                      <w:marBottom w:val="0"/>
                      <w:divBdr>
                        <w:top w:val="none" w:sz="0" w:space="0" w:color="auto"/>
                        <w:left w:val="none" w:sz="0" w:space="0" w:color="auto"/>
                        <w:bottom w:val="none" w:sz="0" w:space="0" w:color="auto"/>
                        <w:right w:val="none" w:sz="0" w:space="0" w:color="auto"/>
                      </w:divBdr>
                      <w:divsChild>
                        <w:div w:id="200064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d.int/doc/?meeting=SOIOM-2016-01" TargetMode="External"/><Relationship Id="rId13" Type="http://schemas.openxmlformats.org/officeDocument/2006/relationships/hyperlink" Target="http://www.fao.org/fishery/nems/40832/es" TargetMode="External"/><Relationship Id="rId18" Type="http://schemas.openxmlformats.org/officeDocument/2006/relationships/hyperlink" Target="https://www.sprfmo.int/new-meetingpage-News/archive-news/our-ocean-2015-conference-in-vina-del-mar-chile/"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fao.org/about/meetings/cofi/en/" TargetMode="External"/><Relationship Id="rId17" Type="http://schemas.openxmlformats.org/officeDocument/2006/relationships/hyperlink" Target="https://www.ccamlr.org/en/ccamlr-xxxiv" TargetMode="External"/><Relationship Id="rId2" Type="http://schemas.openxmlformats.org/officeDocument/2006/relationships/numbering" Target="numbering.xml"/><Relationship Id="rId16" Type="http://schemas.openxmlformats.org/officeDocument/2006/relationships/hyperlink" Target="http://www.ffa.int/rims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org/depts/los/reference_files/Bottom_Fishing_Workshop_2016_Presentations.pdf" TargetMode="External"/><Relationship Id="rId5" Type="http://schemas.openxmlformats.org/officeDocument/2006/relationships/webSettings" Target="webSettings.xml"/><Relationship Id="rId15" Type="http://schemas.openxmlformats.org/officeDocument/2006/relationships/hyperlink" Target="http://gfetw.org/" TargetMode="External"/><Relationship Id="rId23" Type="http://schemas.openxmlformats.org/officeDocument/2006/relationships/theme" Target="theme/theme1.xml"/><Relationship Id="rId10" Type="http://schemas.openxmlformats.org/officeDocument/2006/relationships/hyperlink" Target="http://www.un.org/depts/los/reference_files/Presentations/PPT/Segment4/JF.pdf" TargetMode="External"/><Relationship Id="rId19" Type="http://schemas.openxmlformats.org/officeDocument/2006/relationships/hyperlink" Target="https://cites.org/sites/default/files/E-CoP17-88-03-A11.pdf" TargetMode="External"/><Relationship Id="rId4" Type="http://schemas.openxmlformats.org/officeDocument/2006/relationships/settings" Target="settings.xml"/><Relationship Id="rId9" Type="http://schemas.openxmlformats.org/officeDocument/2006/relationships/hyperlink" Target="http://www.un.org/Depts/los/reference_files/Bottom_Fishing_Workshop_2016.pdf" TargetMode="External"/><Relationship Id="rId14" Type="http://schemas.openxmlformats.org/officeDocument/2006/relationships/hyperlink" Target="http://www.imcsnet.org/events/cofi-32-iuu-side-event/"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fischer\Documents\Custom%20Office%20Templates\SPRFMO-Gener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E26A0-14AE-4E24-8480-C578691A3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SPRFMO-General</Template>
  <TotalTime>80</TotalTime>
  <Pages>3</Pages>
  <Words>1349</Words>
  <Characters>7693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jfischer</dc:creator>
  <cp:keywords/>
  <dc:description/>
  <cp:lastModifiedBy>cloveridge</cp:lastModifiedBy>
  <cp:revision>7</cp:revision>
  <cp:lastPrinted>2016-09-12T06:22:00Z</cp:lastPrinted>
  <dcterms:created xsi:type="dcterms:W3CDTF">2016-09-14T03:33:00Z</dcterms:created>
  <dcterms:modified xsi:type="dcterms:W3CDTF">2016-09-22T03:00:00Z</dcterms:modified>
</cp:coreProperties>
</file>